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86623" w14:textId="0533BFA1" w:rsidR="00BF4D0E" w:rsidRPr="00F73930" w:rsidRDefault="00BF4D0E" w:rsidP="00BF4D0E">
      <w:pPr>
        <w:widowControl w:val="0"/>
        <w:numPr>
          <w:ilvl w:val="1"/>
          <w:numId w:val="0"/>
        </w:numPr>
        <w:suppressAutoHyphens/>
        <w:autoSpaceDN w:val="0"/>
        <w:spacing w:after="0" w:line="240" w:lineRule="auto"/>
        <w:contextualSpacing/>
        <w:jc w:val="center"/>
        <w:textAlignment w:val="baseline"/>
        <w:rPr>
          <w:rFonts w:asciiTheme="majorHAnsi" w:eastAsiaTheme="majorEastAsia" w:hAnsiTheme="majorHAnsi" w:cs="Mangal"/>
          <w:spacing w:val="-10"/>
          <w:kern w:val="28"/>
          <w:sz w:val="56"/>
          <w:szCs w:val="50"/>
          <w:lang w:eastAsia="zh-CN" w:bidi="hi-IN"/>
        </w:rPr>
      </w:pPr>
      <w:bookmarkStart w:id="0" w:name="_Hlk531866322"/>
      <w:bookmarkEnd w:id="0"/>
      <w:r w:rsidRPr="00F73930">
        <w:rPr>
          <w:rFonts w:asciiTheme="majorHAnsi" w:eastAsiaTheme="majorEastAsia" w:hAnsiTheme="majorHAnsi" w:cs="Mangal"/>
          <w:spacing w:val="-10"/>
          <w:kern w:val="28"/>
          <w:sz w:val="56"/>
          <w:szCs w:val="50"/>
          <w:lang w:eastAsia="zh-CN" w:bidi="hi-IN"/>
        </w:rPr>
        <w:t xml:space="preserve">Chapter </w:t>
      </w:r>
      <w:r w:rsidR="00EB41B8">
        <w:rPr>
          <w:rFonts w:asciiTheme="majorHAnsi" w:eastAsiaTheme="majorEastAsia" w:hAnsiTheme="majorHAnsi" w:cs="Mangal"/>
          <w:spacing w:val="-10"/>
          <w:kern w:val="28"/>
          <w:sz w:val="56"/>
          <w:szCs w:val="50"/>
          <w:lang w:eastAsia="zh-CN" w:bidi="hi-IN"/>
        </w:rPr>
        <w:t>6</w:t>
      </w:r>
    </w:p>
    <w:p w14:paraId="78A790F7" w14:textId="2308545C" w:rsidR="00E7367D" w:rsidRDefault="00906792" w:rsidP="00BF4D0E">
      <w:pPr>
        <w:widowControl w:val="0"/>
        <w:suppressAutoHyphens/>
        <w:autoSpaceDN w:val="0"/>
        <w:spacing w:after="0" w:line="240" w:lineRule="auto"/>
        <w:jc w:val="center"/>
        <w:textAlignment w:val="baseline"/>
        <w:rPr>
          <w:rFonts w:asciiTheme="majorHAnsi" w:eastAsiaTheme="majorEastAsia" w:hAnsiTheme="majorHAnsi" w:cs="Mangal"/>
          <w:b/>
          <w:bCs/>
          <w:spacing w:val="-10"/>
          <w:kern w:val="28"/>
          <w:sz w:val="56"/>
          <w:szCs w:val="50"/>
        </w:rPr>
      </w:pPr>
      <w:r>
        <w:rPr>
          <w:rFonts w:asciiTheme="majorHAnsi" w:eastAsiaTheme="majorEastAsia" w:hAnsiTheme="majorHAnsi" w:cs="Mangal"/>
          <w:b/>
          <w:bCs/>
          <w:spacing w:val="-10"/>
          <w:kern w:val="28"/>
          <w:sz w:val="56"/>
          <w:szCs w:val="50"/>
        </w:rPr>
        <w:t>EQUITY MARKETS</w:t>
      </w:r>
      <w:r w:rsidR="008449CE">
        <w:rPr>
          <w:rFonts w:asciiTheme="majorHAnsi" w:eastAsiaTheme="majorEastAsia" w:hAnsiTheme="majorHAnsi" w:cs="Mangal"/>
          <w:b/>
          <w:bCs/>
          <w:spacing w:val="-10"/>
          <w:kern w:val="28"/>
          <w:sz w:val="56"/>
          <w:szCs w:val="50"/>
        </w:rPr>
        <w:t xml:space="preserve">: </w:t>
      </w:r>
    </w:p>
    <w:p w14:paraId="731EAB14" w14:textId="1C7EF931" w:rsidR="00BF4D0E" w:rsidRPr="00F73930" w:rsidRDefault="008449CE" w:rsidP="00BF4D0E">
      <w:pPr>
        <w:widowControl w:val="0"/>
        <w:suppressAutoHyphens/>
        <w:autoSpaceDN w:val="0"/>
        <w:spacing w:after="0" w:line="240" w:lineRule="auto"/>
        <w:jc w:val="center"/>
        <w:textAlignment w:val="baseline"/>
        <w:rPr>
          <w:rFonts w:ascii="Times New Roman" w:eastAsia="Arial Unicode MS" w:hAnsi="Times New Roman" w:cs="Arial Unicode MS"/>
          <w:bCs/>
          <w:kern w:val="3"/>
          <w:sz w:val="24"/>
          <w:szCs w:val="24"/>
          <w:lang w:eastAsia="zh-CN" w:bidi="hi-IN"/>
        </w:rPr>
      </w:pPr>
      <w:r>
        <w:rPr>
          <w:rFonts w:asciiTheme="majorHAnsi" w:eastAsiaTheme="majorEastAsia" w:hAnsiTheme="majorHAnsi" w:cs="Mangal"/>
          <w:b/>
          <w:bCs/>
          <w:spacing w:val="-10"/>
          <w:kern w:val="28"/>
          <w:sz w:val="56"/>
          <w:szCs w:val="50"/>
        </w:rPr>
        <w:t xml:space="preserve">IPO &amp; </w:t>
      </w:r>
      <w:r w:rsidR="00A06FA4">
        <w:rPr>
          <w:rFonts w:asciiTheme="majorHAnsi" w:eastAsiaTheme="majorEastAsia" w:hAnsiTheme="majorHAnsi" w:cs="Mangal"/>
          <w:b/>
          <w:bCs/>
          <w:spacing w:val="-10"/>
          <w:kern w:val="28"/>
          <w:sz w:val="56"/>
          <w:szCs w:val="50"/>
        </w:rPr>
        <w:t>Prece</w:t>
      </w:r>
      <w:r w:rsidR="00832B3A">
        <w:rPr>
          <w:rFonts w:asciiTheme="majorHAnsi" w:eastAsiaTheme="majorEastAsia" w:hAnsiTheme="majorHAnsi" w:cs="Mangal"/>
          <w:b/>
          <w:bCs/>
          <w:spacing w:val="-10"/>
          <w:kern w:val="28"/>
          <w:sz w:val="56"/>
          <w:szCs w:val="50"/>
        </w:rPr>
        <w:t xml:space="preserve">dent Transaction </w:t>
      </w:r>
      <w:r w:rsidR="0057124A">
        <w:rPr>
          <w:rFonts w:asciiTheme="majorHAnsi" w:eastAsiaTheme="majorEastAsia" w:hAnsiTheme="majorHAnsi" w:cs="Mangal"/>
          <w:b/>
          <w:bCs/>
          <w:spacing w:val="-10"/>
          <w:kern w:val="28"/>
          <w:sz w:val="56"/>
          <w:szCs w:val="50"/>
        </w:rPr>
        <w:t xml:space="preserve">Process &amp; </w:t>
      </w:r>
      <w:r w:rsidR="00832B3A">
        <w:rPr>
          <w:rFonts w:asciiTheme="majorHAnsi" w:eastAsiaTheme="majorEastAsia" w:hAnsiTheme="majorHAnsi" w:cs="Mangal"/>
          <w:b/>
          <w:bCs/>
          <w:spacing w:val="-10"/>
          <w:kern w:val="28"/>
          <w:sz w:val="56"/>
          <w:szCs w:val="50"/>
        </w:rPr>
        <w:t>Analysis</w:t>
      </w:r>
    </w:p>
    <w:p w14:paraId="25D9D985" w14:textId="77777777" w:rsidR="00BB4B8D" w:rsidRDefault="00BB4B8D" w:rsidP="00BF4D0E">
      <w:pPr>
        <w:jc w:val="both"/>
        <w:rPr>
          <w:rFonts w:ascii="Times New Roman" w:eastAsia="Arial Unicode MS" w:hAnsi="Times New Roman" w:cs="Arial Unicode MS"/>
          <w:bCs/>
          <w:kern w:val="3"/>
          <w:sz w:val="24"/>
          <w:szCs w:val="24"/>
          <w:lang w:eastAsia="zh-CN" w:bidi="hi-IN"/>
        </w:rPr>
      </w:pPr>
    </w:p>
    <w:p w14:paraId="366273E7" w14:textId="77777777" w:rsidR="0097795B" w:rsidRDefault="0097795B" w:rsidP="0097795B">
      <w:pPr>
        <w:widowControl w:val="0"/>
        <w:suppressAutoHyphens/>
        <w:autoSpaceDN w:val="0"/>
        <w:spacing w:after="0" w:line="240" w:lineRule="auto"/>
        <w:jc w:val="both"/>
        <w:textAlignment w:val="baseline"/>
        <w:rPr>
          <w:rFonts w:ascii="Times New Roman" w:eastAsia="Arial Unicode MS" w:hAnsi="Times New Roman" w:cs="Arial Unicode MS"/>
          <w:bCs/>
          <w:kern w:val="3"/>
          <w:sz w:val="24"/>
          <w:szCs w:val="24"/>
          <w:lang w:eastAsia="zh-CN" w:bidi="hi-IN"/>
        </w:rPr>
      </w:pPr>
      <w:r>
        <w:rPr>
          <w:rFonts w:ascii="Times New Roman" w:eastAsia="Arial Unicode MS" w:hAnsi="Times New Roman" w:cs="Arial Unicode MS"/>
          <w:bCs/>
          <w:kern w:val="3"/>
          <w:sz w:val="24"/>
          <w:szCs w:val="24"/>
          <w:lang w:eastAsia="zh-CN" w:bidi="hi-IN"/>
        </w:rPr>
        <w:t xml:space="preserve">This chapter will cover in detail the last stage of a company’s maturity and development – an Initial Public Offering (IPO). Once the company becomes public, the chapter will then describe the precedent of an M&amp;A transaction and the Tender Offer procedures involved, starting from the bidding stage to close and funding stage. The analytical approach for valuing the company in order to raise capital will be described in more detail in chapters 9 and 17. This chapter gives an introduction to the process of raising capital with which the reader should follow-up with a valuation analysis of pricing the company for M&amp;A and M&amp;A accretion/dilution as well as going from public to private via a Leveraged Buyout (LBO) and Recapitalization financing.   </w:t>
      </w:r>
    </w:p>
    <w:p w14:paraId="0F97A455" w14:textId="77777777" w:rsidR="005D31AF" w:rsidRDefault="005D31AF" w:rsidP="00BF4D0E">
      <w:pPr>
        <w:widowControl w:val="0"/>
        <w:suppressAutoHyphens/>
        <w:autoSpaceDN w:val="0"/>
        <w:spacing w:after="0" w:line="240" w:lineRule="auto"/>
        <w:jc w:val="both"/>
        <w:textAlignment w:val="baseline"/>
        <w:rPr>
          <w:rFonts w:ascii="Times New Roman" w:eastAsia="Arial Unicode MS" w:hAnsi="Times New Roman" w:cs="Arial Unicode MS"/>
          <w:bCs/>
          <w:kern w:val="3"/>
          <w:sz w:val="24"/>
          <w:szCs w:val="24"/>
          <w:lang w:eastAsia="zh-CN" w:bidi="hi-IN"/>
        </w:rPr>
      </w:pPr>
    </w:p>
    <w:p w14:paraId="0FB0E17E" w14:textId="28ACFDF7" w:rsidR="00BF4D0E" w:rsidRDefault="00BF4D0E" w:rsidP="00BF4D0E">
      <w:pPr>
        <w:widowControl w:val="0"/>
        <w:suppressAutoHyphens/>
        <w:autoSpaceDN w:val="0"/>
        <w:spacing w:after="0" w:line="240" w:lineRule="auto"/>
        <w:jc w:val="both"/>
        <w:textAlignment w:val="baseline"/>
        <w:rPr>
          <w:rFonts w:asciiTheme="majorHAnsi" w:eastAsiaTheme="majorEastAsia" w:hAnsiTheme="majorHAnsi" w:cs="Mangal"/>
          <w:color w:val="2F5496" w:themeColor="accent1" w:themeShade="BF"/>
          <w:kern w:val="3"/>
          <w:sz w:val="32"/>
          <w:szCs w:val="29"/>
        </w:rPr>
      </w:pPr>
      <w:r w:rsidRPr="00F73930">
        <w:rPr>
          <w:rFonts w:asciiTheme="majorHAnsi" w:eastAsiaTheme="majorEastAsia" w:hAnsiTheme="majorHAnsi" w:cs="Mangal"/>
          <w:color w:val="2F5496" w:themeColor="accent1" w:themeShade="BF"/>
          <w:kern w:val="3"/>
          <w:sz w:val="32"/>
          <w:szCs w:val="29"/>
        </w:rPr>
        <w:t>Learning Objectives</w:t>
      </w:r>
    </w:p>
    <w:p w14:paraId="0FC76941" w14:textId="77777777" w:rsidR="00BF4D0E" w:rsidRDefault="00BF4D0E" w:rsidP="00BF4D0E">
      <w:pPr>
        <w:suppressAutoHyphens/>
        <w:autoSpaceDN w:val="0"/>
        <w:spacing w:after="0" w:line="240" w:lineRule="auto"/>
        <w:jc w:val="both"/>
        <w:textAlignment w:val="baseline"/>
        <w:rPr>
          <w:rFonts w:ascii="Times New Roman" w:eastAsia="Arial Unicode MS" w:hAnsi="Times New Roman" w:cs="Arial Unicode MS"/>
          <w:bCs/>
          <w:kern w:val="3"/>
          <w:sz w:val="24"/>
          <w:szCs w:val="24"/>
          <w:lang w:eastAsia="zh-CN" w:bidi="hi-IN"/>
        </w:rPr>
      </w:pPr>
    </w:p>
    <w:p w14:paraId="50C0BC2E" w14:textId="77777777" w:rsidR="00D027A0" w:rsidRPr="00C573DA" w:rsidRDefault="00D027A0" w:rsidP="00D027A0">
      <w:pPr>
        <w:suppressAutoHyphens/>
        <w:autoSpaceDN w:val="0"/>
        <w:spacing w:after="0" w:line="240" w:lineRule="auto"/>
        <w:jc w:val="both"/>
        <w:textAlignment w:val="baseline"/>
        <w:rPr>
          <w:rFonts w:ascii="Times New Roman" w:eastAsia="Arial Unicode MS" w:hAnsi="Times New Roman" w:cs="Arial Unicode MS"/>
          <w:b/>
          <w:bCs/>
          <w:kern w:val="3"/>
          <w:sz w:val="24"/>
          <w:szCs w:val="24"/>
          <w:lang w:eastAsia="zh-CN" w:bidi="hi-IN"/>
        </w:rPr>
      </w:pPr>
      <w:r w:rsidRPr="00C573DA">
        <w:rPr>
          <w:rFonts w:ascii="Times New Roman" w:eastAsia="Arial Unicode MS" w:hAnsi="Times New Roman" w:cs="Arial Unicode MS"/>
          <w:bCs/>
          <w:kern w:val="3"/>
          <w:sz w:val="24"/>
          <w:szCs w:val="24"/>
          <w:lang w:eastAsia="zh-CN" w:bidi="hi-IN"/>
        </w:rPr>
        <w:t>After reading this chapter, students will be able to</w:t>
      </w:r>
      <w:r w:rsidRPr="00C573DA">
        <w:rPr>
          <w:rFonts w:ascii="Times New Roman" w:eastAsia="Arial Unicode MS" w:hAnsi="Times New Roman" w:cs="Arial Unicode MS"/>
          <w:b/>
          <w:bCs/>
          <w:kern w:val="3"/>
          <w:sz w:val="24"/>
          <w:szCs w:val="24"/>
          <w:lang w:eastAsia="zh-CN" w:bidi="hi-IN"/>
        </w:rPr>
        <w:t>:</w:t>
      </w:r>
    </w:p>
    <w:p w14:paraId="0D0014E5" w14:textId="77777777" w:rsidR="00D027A0" w:rsidRPr="00C573DA" w:rsidRDefault="00D027A0" w:rsidP="00D027A0">
      <w:pPr>
        <w:suppressAutoHyphens/>
        <w:autoSpaceDN w:val="0"/>
        <w:spacing w:after="0" w:line="240" w:lineRule="auto"/>
        <w:jc w:val="both"/>
        <w:textAlignment w:val="baseline"/>
        <w:rPr>
          <w:rFonts w:ascii="Times New Roman" w:eastAsia="Arial Unicode MS" w:hAnsi="Times New Roman" w:cs="Arial Unicode MS"/>
          <w:b/>
          <w:bCs/>
          <w:kern w:val="3"/>
          <w:sz w:val="24"/>
          <w:szCs w:val="24"/>
          <w:lang w:eastAsia="zh-CN" w:bidi="hi-IN"/>
        </w:rPr>
      </w:pPr>
    </w:p>
    <w:p w14:paraId="572E430C" w14:textId="77777777" w:rsidR="00D027A0" w:rsidRDefault="00D027A0" w:rsidP="00D027A0">
      <w:pPr>
        <w:widowControl w:val="0"/>
        <w:numPr>
          <w:ilvl w:val="0"/>
          <w:numId w:val="1"/>
        </w:numPr>
        <w:suppressAutoHyphens/>
        <w:autoSpaceDN w:val="0"/>
        <w:spacing w:after="0" w:line="240" w:lineRule="auto"/>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Briefly understand the life cycle of a public company</w:t>
      </w:r>
    </w:p>
    <w:p w14:paraId="24CF037F" w14:textId="77777777" w:rsidR="00D027A0" w:rsidRPr="00C573DA" w:rsidRDefault="00D027A0" w:rsidP="00D027A0">
      <w:pPr>
        <w:widowControl w:val="0"/>
        <w:numPr>
          <w:ilvl w:val="0"/>
          <w:numId w:val="1"/>
        </w:numPr>
        <w:suppressAutoHyphens/>
        <w:autoSpaceDN w:val="0"/>
        <w:spacing w:after="0" w:line="240" w:lineRule="auto"/>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Understand how a company raises capital at various phases of its growth and development.</w:t>
      </w:r>
    </w:p>
    <w:p w14:paraId="34C5D456" w14:textId="77777777" w:rsidR="00D027A0" w:rsidRPr="00C573DA" w:rsidRDefault="00D027A0" w:rsidP="00D027A0">
      <w:pPr>
        <w:widowControl w:val="0"/>
        <w:numPr>
          <w:ilvl w:val="0"/>
          <w:numId w:val="1"/>
        </w:numPr>
        <w:suppressAutoHyphens/>
        <w:autoSpaceDN w:val="0"/>
        <w:spacing w:after="0" w:line="240" w:lineRule="auto"/>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Understand the process of an Initial Public Offering (IPO), Follow-On Offerings and Rights Offerings.</w:t>
      </w:r>
    </w:p>
    <w:p w14:paraId="246FBFBC" w14:textId="77777777" w:rsidR="00D027A0" w:rsidRPr="00C573DA" w:rsidRDefault="00D027A0" w:rsidP="00D027A0">
      <w:pPr>
        <w:widowControl w:val="0"/>
        <w:numPr>
          <w:ilvl w:val="0"/>
          <w:numId w:val="1"/>
        </w:numPr>
        <w:suppressAutoHyphens/>
        <w:autoSpaceDN w:val="0"/>
        <w:spacing w:after="0" w:line="240" w:lineRule="auto"/>
        <w:jc w:val="both"/>
        <w:textAlignment w:val="baseline"/>
        <w:rPr>
          <w:rFonts w:ascii="Times New Roman" w:eastAsia="Arial Unicode MS" w:hAnsi="Times New Roman" w:cs="Arial Unicode MS"/>
          <w:kern w:val="3"/>
          <w:sz w:val="24"/>
          <w:szCs w:val="24"/>
        </w:rPr>
      </w:pPr>
      <w:r w:rsidRPr="00C573DA">
        <w:rPr>
          <w:rFonts w:ascii="Times New Roman" w:eastAsia="Arial Unicode MS" w:hAnsi="Times New Roman" w:cs="Arial Unicode MS"/>
          <w:kern w:val="3"/>
          <w:sz w:val="24"/>
          <w:szCs w:val="24"/>
        </w:rPr>
        <w:t xml:space="preserve">Apply various analytical tools </w:t>
      </w:r>
      <w:r>
        <w:rPr>
          <w:rFonts w:ascii="Times New Roman" w:eastAsia="Arial Unicode MS" w:hAnsi="Times New Roman" w:cs="Arial Unicode MS"/>
          <w:kern w:val="3"/>
          <w:sz w:val="24"/>
          <w:szCs w:val="24"/>
        </w:rPr>
        <w:t>as an investment advisor to determine the best course of raising capital.</w:t>
      </w:r>
    </w:p>
    <w:p w14:paraId="6E1B56A0" w14:textId="77777777" w:rsidR="00D027A0" w:rsidRPr="00C573DA" w:rsidRDefault="00D027A0" w:rsidP="00D027A0">
      <w:pPr>
        <w:widowControl w:val="0"/>
        <w:numPr>
          <w:ilvl w:val="0"/>
          <w:numId w:val="1"/>
        </w:numPr>
        <w:suppressAutoHyphens/>
        <w:autoSpaceDN w:val="0"/>
        <w:spacing w:after="0" w:line="240" w:lineRule="auto"/>
        <w:jc w:val="both"/>
        <w:textAlignment w:val="baseline"/>
        <w:rPr>
          <w:rFonts w:ascii="Times New Roman" w:eastAsia="Arial Unicode MS" w:hAnsi="Times New Roman" w:cs="Arial Unicode MS"/>
          <w:kern w:val="3"/>
          <w:sz w:val="24"/>
          <w:szCs w:val="24"/>
        </w:rPr>
      </w:pPr>
      <w:r w:rsidRPr="00C573DA">
        <w:rPr>
          <w:rFonts w:ascii="Times New Roman" w:eastAsia="Arial Unicode MS" w:hAnsi="Times New Roman" w:cs="Arial Unicode MS"/>
          <w:kern w:val="3"/>
          <w:sz w:val="24"/>
          <w:szCs w:val="24"/>
        </w:rPr>
        <w:t xml:space="preserve">Understand </w:t>
      </w:r>
      <w:r>
        <w:rPr>
          <w:rFonts w:ascii="Times New Roman" w:eastAsia="Arial Unicode MS" w:hAnsi="Times New Roman" w:cs="Arial Unicode MS"/>
          <w:kern w:val="3"/>
          <w:sz w:val="24"/>
          <w:szCs w:val="24"/>
        </w:rPr>
        <w:t>how transactions are financed including Mergers &amp; Acquisitions (M&amp;A), Takeovers, Tender offers (TO) and Leveraged Buyouts (LBOs)</w:t>
      </w:r>
    </w:p>
    <w:p w14:paraId="34A093C0" w14:textId="77777777" w:rsidR="00BF4D0E" w:rsidRPr="000D54BF"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0F50EDDE" w14:textId="77777777" w:rsidR="00BF4D0E" w:rsidRPr="00B37288"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sidRPr="00B37288">
        <w:rPr>
          <w:rFonts w:ascii="Times New Roman" w:eastAsia="Arial Unicode MS" w:hAnsi="Times New Roman" w:cs="Arial Unicode MS"/>
          <w:b/>
          <w:color w:val="0070C0"/>
          <w:kern w:val="3"/>
          <w:sz w:val="24"/>
          <w:szCs w:val="24"/>
        </w:rPr>
        <w:t>[Insert boxed text here</w:t>
      </w:r>
    </w:p>
    <w:p w14:paraId="2EC20B35" w14:textId="77777777" w:rsidR="00BF4D0E" w:rsidRPr="000D54BF"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b/>
          <w:i/>
          <w:color w:val="FF0000"/>
          <w:kern w:val="3"/>
          <w:sz w:val="24"/>
          <w:szCs w:val="24"/>
        </w:rPr>
      </w:pPr>
    </w:p>
    <w:p w14:paraId="6AD68DEE" w14:textId="77777777" w:rsidR="005B6215"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b/>
          <w:i/>
          <w:kern w:val="3"/>
          <w:sz w:val="24"/>
          <w:szCs w:val="24"/>
        </w:rPr>
      </w:pPr>
      <w:r w:rsidRPr="005E4FDF">
        <w:rPr>
          <w:rFonts w:ascii="Times New Roman" w:eastAsia="Arial Unicode MS" w:hAnsi="Times New Roman" w:cs="Arial Unicode MS"/>
          <w:b/>
          <w:i/>
          <w:kern w:val="3"/>
          <w:sz w:val="24"/>
          <w:szCs w:val="24"/>
        </w:rPr>
        <w:t>AUTHOR’S NOTES:</w:t>
      </w:r>
    </w:p>
    <w:p w14:paraId="3077E330" w14:textId="60680540" w:rsidR="001669F4" w:rsidRPr="00246B45" w:rsidRDefault="001669F4" w:rsidP="001669F4">
      <w:pPr>
        <w:pStyle w:val="NormalWeb"/>
        <w:spacing w:before="0" w:beforeAutospacing="0" w:after="240" w:afterAutospacing="0"/>
        <w:jc w:val="both"/>
        <w:rPr>
          <w:rFonts w:eastAsia="Arial Unicode MS" w:cs="Arial Unicode MS"/>
          <w:i/>
          <w:kern w:val="3"/>
        </w:rPr>
      </w:pPr>
      <w:r w:rsidRPr="00D630B6">
        <w:rPr>
          <w:rFonts w:eastAsia="Arial Unicode MS" w:cs="Arial Unicode MS"/>
          <w:i/>
          <w:kern w:val="3"/>
        </w:rPr>
        <w:t>Companies that are interviewing various investment bankers advis</w:t>
      </w:r>
      <w:r>
        <w:rPr>
          <w:rFonts w:eastAsia="Arial Unicode MS" w:cs="Arial Unicode MS"/>
          <w:i/>
          <w:kern w:val="3"/>
        </w:rPr>
        <w:t>ing</w:t>
      </w:r>
      <w:r w:rsidRPr="00D630B6">
        <w:rPr>
          <w:rFonts w:eastAsia="Arial Unicode MS" w:cs="Arial Unicode MS"/>
          <w:i/>
          <w:kern w:val="3"/>
        </w:rPr>
        <w:t xml:space="preserve"> them how to access the market and how much </w:t>
      </w:r>
      <w:r>
        <w:rPr>
          <w:rFonts w:eastAsia="Arial Unicode MS" w:cs="Arial Unicode MS"/>
          <w:i/>
          <w:kern w:val="3"/>
        </w:rPr>
        <w:t>capital they</w:t>
      </w:r>
      <w:r w:rsidRPr="00D630B6">
        <w:rPr>
          <w:rFonts w:eastAsia="Arial Unicode MS" w:cs="Arial Unicode MS"/>
          <w:i/>
          <w:kern w:val="3"/>
        </w:rPr>
        <w:t xml:space="preserve"> should raise will conduct a “Beauty Contest” or “Bake Off”. </w:t>
      </w:r>
      <w:r>
        <w:rPr>
          <w:rFonts w:eastAsia="Arial Unicode MS" w:cs="Arial Unicode MS"/>
          <w:i/>
          <w:kern w:val="3"/>
        </w:rPr>
        <w:t>As futile as t</w:t>
      </w:r>
      <w:r w:rsidRPr="00D630B6">
        <w:rPr>
          <w:rFonts w:eastAsia="Arial Unicode MS" w:cs="Arial Unicode MS"/>
          <w:i/>
          <w:kern w:val="3"/>
        </w:rPr>
        <w:t xml:space="preserve">hese cliché terms </w:t>
      </w:r>
      <w:r>
        <w:rPr>
          <w:rFonts w:eastAsia="Arial Unicode MS" w:cs="Arial Unicode MS"/>
          <w:i/>
          <w:kern w:val="3"/>
        </w:rPr>
        <w:t xml:space="preserve">may sound, they </w:t>
      </w:r>
      <w:r w:rsidRPr="00D630B6">
        <w:rPr>
          <w:rFonts w:eastAsia="Arial Unicode MS" w:cs="Arial Unicode MS"/>
          <w:i/>
          <w:kern w:val="3"/>
        </w:rPr>
        <w:t>are</w:t>
      </w:r>
      <w:r>
        <w:rPr>
          <w:rFonts w:eastAsia="Arial Unicode MS" w:cs="Arial Unicode MS"/>
          <w:i/>
          <w:kern w:val="3"/>
        </w:rPr>
        <w:t xml:space="preserve"> </w:t>
      </w:r>
      <w:proofErr w:type="gramStart"/>
      <w:r>
        <w:rPr>
          <w:rFonts w:eastAsia="Arial Unicode MS" w:cs="Arial Unicode MS"/>
          <w:i/>
          <w:kern w:val="3"/>
        </w:rPr>
        <w:t>actually the</w:t>
      </w:r>
      <w:proofErr w:type="gramEnd"/>
      <w:r w:rsidRPr="00D630B6">
        <w:rPr>
          <w:rFonts w:eastAsia="Arial Unicode MS" w:cs="Arial Unicode MS"/>
          <w:i/>
          <w:kern w:val="3"/>
        </w:rPr>
        <w:t xml:space="preserve"> best</w:t>
      </w:r>
      <w:r>
        <w:rPr>
          <w:rFonts w:eastAsia="Arial Unicode MS" w:cs="Arial Unicode MS"/>
          <w:i/>
          <w:kern w:val="3"/>
        </w:rPr>
        <w:t xml:space="preserve"> analogies</w:t>
      </w:r>
      <w:r w:rsidRPr="00D630B6">
        <w:rPr>
          <w:rFonts w:eastAsia="Arial Unicode MS" w:cs="Arial Unicode MS"/>
          <w:i/>
          <w:kern w:val="3"/>
        </w:rPr>
        <w:t xml:space="preserve"> </w:t>
      </w:r>
      <w:r>
        <w:rPr>
          <w:rFonts w:eastAsia="Arial Unicode MS" w:cs="Arial Unicode MS"/>
          <w:i/>
          <w:kern w:val="3"/>
        </w:rPr>
        <w:t>for</w:t>
      </w:r>
      <w:r w:rsidRPr="00D630B6">
        <w:rPr>
          <w:rFonts w:eastAsia="Arial Unicode MS" w:cs="Arial Unicode MS"/>
          <w:i/>
          <w:kern w:val="3"/>
        </w:rPr>
        <w:t xml:space="preserve"> describing the environment</w:t>
      </w:r>
      <w:r>
        <w:rPr>
          <w:rFonts w:eastAsia="Arial Unicode MS" w:cs="Arial Unicode MS"/>
          <w:i/>
          <w:kern w:val="3"/>
        </w:rPr>
        <w:t xml:space="preserve"> Investment Bankers find themselves in</w:t>
      </w:r>
      <w:r w:rsidRPr="00D630B6">
        <w:rPr>
          <w:rFonts w:eastAsia="Arial Unicode MS" w:cs="Arial Unicode MS"/>
          <w:i/>
          <w:kern w:val="3"/>
        </w:rPr>
        <w:t xml:space="preserve">. When participating in a beauty contest or bake off, investment bankers will do </w:t>
      </w:r>
      <w:r>
        <w:rPr>
          <w:rFonts w:eastAsia="Arial Unicode MS" w:cs="Arial Unicode MS"/>
          <w:i/>
          <w:kern w:val="3"/>
        </w:rPr>
        <w:t xml:space="preserve">their best </w:t>
      </w:r>
      <w:r w:rsidRPr="00D630B6">
        <w:rPr>
          <w:rFonts w:eastAsia="Arial Unicode MS" w:cs="Arial Unicode MS"/>
          <w:i/>
          <w:kern w:val="3"/>
        </w:rPr>
        <w:t xml:space="preserve">to show why they are the most qualified to lead the transaction.  Their pitch includes the </w:t>
      </w:r>
      <w:r w:rsidRPr="00CA2B57">
        <w:rPr>
          <w:rFonts w:eastAsia="Arial Unicode MS" w:cs="Arial Unicode MS"/>
          <w:i/>
          <w:kern w:val="3"/>
        </w:rPr>
        <w:t>profiles of people on the team</w:t>
      </w:r>
      <w:r w:rsidRPr="00D630B6">
        <w:rPr>
          <w:rFonts w:eastAsia="Arial Unicode MS" w:cs="Arial Unicode MS"/>
          <w:i/>
          <w:kern w:val="3"/>
        </w:rPr>
        <w:t xml:space="preserve"> and why they are the bes</w:t>
      </w:r>
      <w:r>
        <w:rPr>
          <w:rFonts w:eastAsia="Arial Unicode MS" w:cs="Arial Unicode MS"/>
          <w:i/>
          <w:kern w:val="3"/>
        </w:rPr>
        <w:t>t option among their compatriots;</w:t>
      </w:r>
      <w:r w:rsidRPr="00D630B6">
        <w:rPr>
          <w:rFonts w:eastAsia="Arial Unicode MS" w:cs="Arial Unicode MS"/>
          <w:i/>
          <w:kern w:val="3"/>
        </w:rPr>
        <w:t xml:space="preserve"> </w:t>
      </w:r>
      <w:r>
        <w:rPr>
          <w:rFonts w:eastAsia="Arial Unicode MS" w:cs="Arial Unicode MS"/>
          <w:i/>
          <w:kern w:val="3"/>
        </w:rPr>
        <w:t>t</w:t>
      </w:r>
      <w:r w:rsidRPr="00D630B6">
        <w:rPr>
          <w:rFonts w:eastAsia="Arial Unicode MS" w:cs="Arial Unicode MS"/>
          <w:i/>
          <w:kern w:val="3"/>
        </w:rPr>
        <w:t xml:space="preserve">hey will </w:t>
      </w:r>
      <w:r>
        <w:rPr>
          <w:rFonts w:eastAsia="Arial Unicode MS" w:cs="Arial Unicode MS"/>
          <w:i/>
          <w:kern w:val="3"/>
        </w:rPr>
        <w:t>display</w:t>
      </w:r>
      <w:r w:rsidRPr="00D630B6">
        <w:rPr>
          <w:rFonts w:eastAsia="Arial Unicode MS" w:cs="Arial Unicode MS"/>
          <w:i/>
          <w:kern w:val="3"/>
        </w:rPr>
        <w:t xml:space="preserve"> their “tombstone”</w:t>
      </w:r>
      <w:r w:rsidRPr="00CA2B57">
        <w:rPr>
          <w:rFonts w:eastAsia="Arial Unicode MS" w:cs="Arial Unicode MS"/>
          <w:i/>
          <w:kern w:val="3"/>
        </w:rPr>
        <w:t xml:space="preserve"> </w:t>
      </w:r>
      <w:r w:rsidRPr="00D630B6">
        <w:rPr>
          <w:rFonts w:eastAsia="Arial Unicode MS" w:cs="Arial Unicode MS"/>
          <w:i/>
          <w:kern w:val="3"/>
        </w:rPr>
        <w:t>of transactions show</w:t>
      </w:r>
      <w:r>
        <w:rPr>
          <w:rFonts w:eastAsia="Arial Unicode MS" w:cs="Arial Unicode MS"/>
          <w:i/>
          <w:kern w:val="3"/>
        </w:rPr>
        <w:t>ing</w:t>
      </w:r>
      <w:r w:rsidRPr="00D630B6">
        <w:rPr>
          <w:rFonts w:eastAsia="Arial Unicode MS" w:cs="Arial Unicode MS"/>
          <w:i/>
          <w:kern w:val="3"/>
        </w:rPr>
        <w:t xml:space="preserve"> their successful </w:t>
      </w:r>
      <w:r w:rsidRPr="00CA2B57">
        <w:rPr>
          <w:rFonts w:eastAsia="Arial Unicode MS" w:cs="Arial Unicode MS"/>
          <w:i/>
          <w:kern w:val="3"/>
        </w:rPr>
        <w:t>track record</w:t>
      </w:r>
      <w:r>
        <w:rPr>
          <w:rFonts w:eastAsia="Arial Unicode MS" w:cs="Arial Unicode MS"/>
          <w:i/>
          <w:kern w:val="3"/>
        </w:rPr>
        <w:t>;</w:t>
      </w:r>
      <w:r w:rsidRPr="00D630B6">
        <w:rPr>
          <w:rFonts w:eastAsia="Arial Unicode MS" w:cs="Arial Unicode MS"/>
          <w:i/>
          <w:kern w:val="3"/>
        </w:rPr>
        <w:t xml:space="preserve"> </w:t>
      </w:r>
      <w:r>
        <w:rPr>
          <w:rFonts w:eastAsia="Arial Unicode MS" w:cs="Arial Unicode MS"/>
          <w:i/>
          <w:kern w:val="3"/>
        </w:rPr>
        <w:t>t</w:t>
      </w:r>
      <w:r w:rsidRPr="00D630B6">
        <w:rPr>
          <w:rFonts w:eastAsia="Arial Unicode MS" w:cs="Arial Unicode MS"/>
          <w:i/>
          <w:kern w:val="3"/>
        </w:rPr>
        <w:t>hey will promote their industry team and how knowledgeable they are</w:t>
      </w:r>
      <w:r>
        <w:rPr>
          <w:rFonts w:eastAsia="Arial Unicode MS" w:cs="Arial Unicode MS"/>
          <w:i/>
          <w:kern w:val="3"/>
        </w:rPr>
        <w:t>;</w:t>
      </w:r>
      <w:r w:rsidRPr="00CA2B57">
        <w:rPr>
          <w:rFonts w:eastAsia="Arial Unicode MS" w:cs="Arial Unicode MS"/>
          <w:i/>
          <w:kern w:val="3"/>
        </w:rPr>
        <w:t xml:space="preserve"> </w:t>
      </w:r>
      <w:r>
        <w:rPr>
          <w:rFonts w:eastAsia="Arial Unicode MS" w:cs="Arial Unicode MS"/>
          <w:i/>
          <w:kern w:val="3"/>
        </w:rPr>
        <w:t>t</w:t>
      </w:r>
      <w:r w:rsidRPr="00D630B6">
        <w:rPr>
          <w:rFonts w:eastAsia="Arial Unicode MS" w:cs="Arial Unicode MS"/>
          <w:i/>
          <w:kern w:val="3"/>
        </w:rPr>
        <w:t>hey will show how active their trading platform i</w:t>
      </w:r>
      <w:r>
        <w:rPr>
          <w:rFonts w:eastAsia="Arial Unicode MS" w:cs="Arial Unicode MS"/>
          <w:i/>
          <w:kern w:val="3"/>
        </w:rPr>
        <w:t>s; and</w:t>
      </w:r>
      <w:r w:rsidRPr="00D630B6">
        <w:rPr>
          <w:rFonts w:eastAsia="Arial Unicode MS" w:cs="Arial Unicode MS"/>
          <w:i/>
          <w:kern w:val="3"/>
        </w:rPr>
        <w:t xml:space="preserve"> will focus specifically on </w:t>
      </w:r>
      <w:r w:rsidRPr="00CA2B57">
        <w:rPr>
          <w:rFonts w:eastAsia="Arial Unicode MS" w:cs="Arial Unicode MS"/>
          <w:i/>
          <w:kern w:val="3"/>
        </w:rPr>
        <w:t xml:space="preserve">providing the </w:t>
      </w:r>
      <w:r w:rsidRPr="00CA2B57">
        <w:rPr>
          <w:rFonts w:eastAsia="Arial Unicode MS" w:cs="Arial Unicode MS"/>
          <w:i/>
          <w:kern w:val="3"/>
        </w:rPr>
        <w:lastRenderedPageBreak/>
        <w:t xml:space="preserve">most attractive </w:t>
      </w:r>
      <w:hyperlink r:id="rId6" w:tgtFrame="_self" w:history="1">
        <w:r w:rsidRPr="00CA2B57">
          <w:rPr>
            <w:rFonts w:eastAsia="Arial Unicode MS" w:cs="Arial Unicode MS"/>
            <w:i/>
            <w:kern w:val="3"/>
          </w:rPr>
          <w:t>valuation analysis</w:t>
        </w:r>
      </w:hyperlink>
      <w:r w:rsidRPr="00CA2B57">
        <w:rPr>
          <w:rFonts w:eastAsia="Arial Unicode MS" w:cs="Arial Unicode MS"/>
          <w:i/>
          <w:kern w:val="3"/>
        </w:rPr>
        <w:t xml:space="preserve"> of the company</w:t>
      </w:r>
      <w:r w:rsidRPr="00D630B6">
        <w:rPr>
          <w:rFonts w:eastAsia="Arial Unicode MS" w:cs="Arial Unicode MS"/>
          <w:i/>
          <w:kern w:val="3"/>
        </w:rPr>
        <w:t xml:space="preserve">. </w:t>
      </w:r>
      <w:r>
        <w:rPr>
          <w:rFonts w:eastAsia="Arial Unicode MS" w:cs="Arial Unicode MS"/>
          <w:i/>
          <w:kern w:val="3"/>
        </w:rPr>
        <w:t xml:space="preserve">I lived through this process and always smile about how much preparation each investment banker goes through to show their best during these periods. There is an old investment banker joke that goes like this: “An investment banker dies and goes to the “waiting room” to find out if he will end up in heaven or hell. St. Peter was buffaloed that he was the first investment banker on the “Heaven” list and gives him a choice. St. Peter tells him to spend one night in hell and one night in heaven and then report back with a decision on where he wants to spend the rest of the afterlife. Curiously, the Investment banker takes the elevator down to hell to see what it’s like. The elevator opens and to his surprise he sees all his colleagues that died before him hanging out at the bar and having a great time. Food and drinks were flowing, there was high level entertainment and a display in the corner scattered with planned golf games for the morning. The next day the banker took the elevator going up to Heaven. As the elevator opened, he walked into a well-lit library with wall to wall books, yoga mats and a harper playing music – people were meditating and reading books – a very quiet place. After experiencing each place, he obviously decides to go to hell as he longs to have fun with his friends and colleagues. St. Peter scripted the </w:t>
      </w:r>
      <w:r w:rsidR="00221E6A">
        <w:rPr>
          <w:rFonts w:eastAsia="Arial Unicode MS" w:cs="Arial Unicode MS"/>
          <w:i/>
          <w:kern w:val="3"/>
        </w:rPr>
        <w:t>contract;</w:t>
      </w:r>
      <w:r>
        <w:rPr>
          <w:rFonts w:eastAsia="Arial Unicode MS" w:cs="Arial Unicode MS"/>
          <w:i/>
          <w:kern w:val="3"/>
        </w:rPr>
        <w:t xml:space="preserve"> the man signed the agreement and he jumped on the first elevator down to hell. When the elevator opened, the room was cold and dark with no one in sight. As he crept into the next </w:t>
      </w:r>
      <w:r w:rsidR="00221E6A">
        <w:rPr>
          <w:rFonts w:eastAsia="Arial Unicode MS" w:cs="Arial Unicode MS"/>
          <w:i/>
          <w:kern w:val="3"/>
        </w:rPr>
        <w:t>room,</w:t>
      </w:r>
      <w:r>
        <w:rPr>
          <w:rFonts w:eastAsia="Arial Unicode MS" w:cs="Arial Unicode MS"/>
          <w:i/>
          <w:kern w:val="3"/>
        </w:rPr>
        <w:t xml:space="preserve"> he saw his friends kneeling and cleaning the floors with water and soap while others were digging holes outside. He approached one of his colleagues and asked what was going on. He said: “I don’t get it. Only yesterday we were having so much fun and today this?” His friend leaned over to him and whispered: “Yesterday, you were a prospect. Today, you are a client”. </w:t>
      </w:r>
      <w:r w:rsidRPr="00D630B6">
        <w:rPr>
          <w:rFonts w:eastAsia="Arial Unicode MS" w:cs="Arial Unicode MS"/>
          <w:i/>
          <w:kern w:val="3"/>
        </w:rPr>
        <w:t xml:space="preserve"> I always visualize the capital markets as</w:t>
      </w:r>
      <w:r>
        <w:rPr>
          <w:rFonts w:eastAsia="Arial Unicode MS" w:cs="Arial Unicode MS"/>
          <w:i/>
          <w:kern w:val="3"/>
        </w:rPr>
        <w:t xml:space="preserve"> a</w:t>
      </w:r>
      <w:r w:rsidRPr="00D630B6">
        <w:rPr>
          <w:rFonts w:eastAsia="Arial Unicode MS" w:cs="Arial Unicode MS"/>
          <w:i/>
          <w:kern w:val="3"/>
        </w:rPr>
        <w:t xml:space="preserve"> place where the</w:t>
      </w:r>
      <w:r>
        <w:rPr>
          <w:rFonts w:eastAsia="Arial Unicode MS" w:cs="Arial Unicode MS"/>
          <w:i/>
          <w:kern w:val="3"/>
        </w:rPr>
        <w:t xml:space="preserve"> bankers</w:t>
      </w:r>
      <w:r w:rsidRPr="00D630B6">
        <w:rPr>
          <w:rFonts w:eastAsia="Arial Unicode MS" w:cs="Arial Unicode MS"/>
          <w:i/>
          <w:kern w:val="3"/>
        </w:rPr>
        <w:t xml:space="preserve"> </w:t>
      </w:r>
      <w:r>
        <w:rPr>
          <w:rFonts w:eastAsia="Arial Unicode MS" w:cs="Arial Unicode MS"/>
          <w:i/>
          <w:kern w:val="3"/>
        </w:rPr>
        <w:t xml:space="preserve">seeking business </w:t>
      </w:r>
      <w:r w:rsidRPr="00D630B6">
        <w:rPr>
          <w:rFonts w:eastAsia="Arial Unicode MS" w:cs="Arial Unicode MS"/>
          <w:i/>
          <w:kern w:val="3"/>
        </w:rPr>
        <w:t xml:space="preserve">put </w:t>
      </w:r>
      <w:r>
        <w:rPr>
          <w:rFonts w:eastAsia="Arial Unicode MS" w:cs="Arial Unicode MS"/>
          <w:i/>
          <w:kern w:val="3"/>
        </w:rPr>
        <w:t>on</w:t>
      </w:r>
      <w:r w:rsidRPr="00D630B6">
        <w:rPr>
          <w:rFonts w:eastAsia="Arial Unicode MS" w:cs="Arial Unicode MS"/>
          <w:i/>
          <w:kern w:val="3"/>
        </w:rPr>
        <w:t xml:space="preserve"> their best behavior</w:t>
      </w:r>
      <w:r>
        <w:rPr>
          <w:rFonts w:eastAsia="Arial Unicode MS" w:cs="Arial Unicode MS"/>
          <w:i/>
          <w:kern w:val="3"/>
        </w:rPr>
        <w:t xml:space="preserve"> to entice clients to sign with them partly for the best execution and partly to show they are the best. I felt the pressure of putting on a show - I spent hours on preparation. While this is a known solicitation process for business, the</w:t>
      </w:r>
      <w:r w:rsidRPr="00246B45">
        <w:rPr>
          <w:rFonts w:eastAsia="Arial Unicode MS" w:cs="Arial Unicode MS"/>
          <w:i/>
          <w:kern w:val="3"/>
        </w:rPr>
        <w:t xml:space="preserve"> investment bankers </w:t>
      </w:r>
      <w:r>
        <w:rPr>
          <w:rFonts w:eastAsia="Arial Unicode MS" w:cs="Arial Unicode MS"/>
          <w:i/>
          <w:kern w:val="3"/>
        </w:rPr>
        <w:t>are</w:t>
      </w:r>
      <w:r w:rsidRPr="00246B45">
        <w:rPr>
          <w:rFonts w:eastAsia="Arial Unicode MS" w:cs="Arial Unicode MS"/>
          <w:i/>
          <w:kern w:val="3"/>
        </w:rPr>
        <w:t xml:space="preserve"> often expected to provide a view</w:t>
      </w:r>
      <w:r>
        <w:rPr>
          <w:rFonts w:eastAsia="Arial Unicode MS" w:cs="Arial Unicode MS"/>
          <w:i/>
          <w:kern w:val="3"/>
        </w:rPr>
        <w:t xml:space="preserve"> on the </w:t>
      </w:r>
      <w:r w:rsidRPr="00246B45">
        <w:rPr>
          <w:rFonts w:eastAsia="Arial Unicode MS" w:cs="Arial Unicode MS"/>
          <w:i/>
          <w:kern w:val="3"/>
        </w:rPr>
        <w:t xml:space="preserve">likelihood of success </w:t>
      </w:r>
      <w:r>
        <w:rPr>
          <w:rFonts w:eastAsia="Arial Unicode MS" w:cs="Arial Unicode MS"/>
          <w:i/>
          <w:kern w:val="3"/>
        </w:rPr>
        <w:t>for</w:t>
      </w:r>
      <w:r w:rsidRPr="00246B45">
        <w:rPr>
          <w:rFonts w:eastAsia="Arial Unicode MS" w:cs="Arial Unicode MS"/>
          <w:i/>
          <w:kern w:val="3"/>
        </w:rPr>
        <w:t xml:space="preserve"> a particular transactio</w:t>
      </w:r>
      <w:r>
        <w:rPr>
          <w:rFonts w:eastAsia="Arial Unicode MS" w:cs="Arial Unicode MS"/>
          <w:i/>
          <w:kern w:val="3"/>
        </w:rPr>
        <w:t>n. On one end investment bankers are pressured to entice the client for more business, but at the same time they must</w:t>
      </w:r>
      <w:r w:rsidRPr="00246B45">
        <w:rPr>
          <w:rFonts w:eastAsia="Arial Unicode MS" w:cs="Arial Unicode MS"/>
          <w:i/>
          <w:kern w:val="3"/>
        </w:rPr>
        <w:t xml:space="preserve"> be careful not to guarantee or otherwise make any binding commitments </w:t>
      </w:r>
      <w:r>
        <w:rPr>
          <w:rFonts w:eastAsia="Arial Unicode MS" w:cs="Arial Unicode MS"/>
          <w:i/>
          <w:kern w:val="3"/>
        </w:rPr>
        <w:t xml:space="preserve">regarding the </w:t>
      </w:r>
      <w:r w:rsidRPr="00246B45">
        <w:rPr>
          <w:rFonts w:eastAsia="Arial Unicode MS" w:cs="Arial Unicode MS"/>
          <w:i/>
          <w:kern w:val="3"/>
        </w:rPr>
        <w:t xml:space="preserve">pricing, deal size or the successful completion of </w:t>
      </w:r>
      <w:r>
        <w:rPr>
          <w:rFonts w:eastAsia="Arial Unicode MS" w:cs="Arial Unicode MS"/>
          <w:i/>
          <w:kern w:val="3"/>
        </w:rPr>
        <w:t>the</w:t>
      </w:r>
      <w:r w:rsidRPr="00246B45">
        <w:rPr>
          <w:rFonts w:eastAsia="Arial Unicode MS" w:cs="Arial Unicode MS"/>
          <w:i/>
          <w:kern w:val="3"/>
        </w:rPr>
        <w:t xml:space="preserve"> transaction.</w:t>
      </w:r>
      <w:r>
        <w:rPr>
          <w:rFonts w:eastAsia="Arial Unicode MS" w:cs="Arial Unicode MS"/>
          <w:i/>
          <w:kern w:val="3"/>
        </w:rPr>
        <w:t xml:space="preserve"> An </w:t>
      </w:r>
      <w:r w:rsidRPr="00246B45">
        <w:rPr>
          <w:rFonts w:eastAsia="Arial Unicode MS" w:cs="Arial Unicode MS"/>
          <w:i/>
          <w:kern w:val="3"/>
        </w:rPr>
        <w:t>investment banking pitch</w:t>
      </w:r>
      <w:r>
        <w:rPr>
          <w:rFonts w:eastAsia="Arial Unicode MS" w:cs="Arial Unicode MS"/>
          <w:i/>
          <w:kern w:val="3"/>
        </w:rPr>
        <w:t xml:space="preserve"> generally includes a</w:t>
      </w:r>
      <w:r w:rsidRPr="00246B45">
        <w:rPr>
          <w:rFonts w:eastAsia="Arial Unicode MS" w:cs="Arial Unicode MS"/>
          <w:i/>
          <w:kern w:val="3"/>
        </w:rPr>
        <w:t xml:space="preserve"> book</w:t>
      </w:r>
      <w:r>
        <w:rPr>
          <w:rFonts w:eastAsia="Arial Unicode MS" w:cs="Arial Unicode MS"/>
          <w:i/>
          <w:kern w:val="3"/>
        </w:rPr>
        <w:t xml:space="preserve"> with which the banker uses to give a visible description of the transaction to the client. From a compliance perspective, bankers</w:t>
      </w:r>
      <w:r w:rsidRPr="00246B45">
        <w:rPr>
          <w:rFonts w:eastAsia="Arial Unicode MS" w:cs="Arial Unicode MS"/>
          <w:i/>
          <w:kern w:val="3"/>
        </w:rPr>
        <w:t xml:space="preserve"> should</w:t>
      </w:r>
      <w:r>
        <w:rPr>
          <w:rFonts w:eastAsia="Arial Unicode MS" w:cs="Arial Unicode MS"/>
          <w:i/>
          <w:kern w:val="3"/>
        </w:rPr>
        <w:t xml:space="preserve"> u</w:t>
      </w:r>
      <w:r w:rsidRPr="00246B45">
        <w:rPr>
          <w:rFonts w:eastAsia="Arial Unicode MS" w:cs="Arial Unicode MS"/>
          <w:i/>
          <w:kern w:val="3"/>
        </w:rPr>
        <w:t xml:space="preserve">se </w:t>
      </w:r>
      <w:r>
        <w:rPr>
          <w:rFonts w:eastAsia="Arial Unicode MS" w:cs="Arial Unicode MS"/>
          <w:i/>
          <w:kern w:val="3"/>
        </w:rPr>
        <w:t xml:space="preserve">a basic </w:t>
      </w:r>
      <w:r w:rsidRPr="00246B45">
        <w:rPr>
          <w:rFonts w:eastAsia="Arial Unicode MS" w:cs="Arial Unicode MS"/>
          <w:i/>
          <w:kern w:val="3"/>
        </w:rPr>
        <w:t>pitch</w:t>
      </w:r>
      <w:r>
        <w:rPr>
          <w:rFonts w:eastAsia="Arial Unicode MS" w:cs="Arial Unicode MS"/>
          <w:i/>
          <w:kern w:val="3"/>
        </w:rPr>
        <w:t xml:space="preserve"> style</w:t>
      </w:r>
      <w:r w:rsidRPr="00246B45">
        <w:rPr>
          <w:rFonts w:eastAsia="Arial Unicode MS" w:cs="Arial Unicode MS"/>
          <w:i/>
          <w:kern w:val="3"/>
        </w:rPr>
        <w:t xml:space="preserve"> </w:t>
      </w:r>
      <w:r w:rsidR="001412F8" w:rsidRPr="00246B45">
        <w:rPr>
          <w:rFonts w:eastAsia="Arial Unicode MS" w:cs="Arial Unicode MS"/>
          <w:i/>
          <w:kern w:val="3"/>
        </w:rPr>
        <w:t>template,</w:t>
      </w:r>
      <w:r>
        <w:rPr>
          <w:rFonts w:eastAsia="Arial Unicode MS" w:cs="Arial Unicode MS"/>
          <w:i/>
          <w:kern w:val="3"/>
        </w:rPr>
        <w:t xml:space="preserve"> and have it</w:t>
      </w:r>
      <w:r w:rsidRPr="00246B45">
        <w:rPr>
          <w:rFonts w:eastAsia="Arial Unicode MS" w:cs="Arial Unicode MS"/>
          <w:i/>
          <w:kern w:val="3"/>
        </w:rPr>
        <w:t xml:space="preserve"> review</w:t>
      </w:r>
      <w:r>
        <w:rPr>
          <w:rFonts w:eastAsia="Arial Unicode MS" w:cs="Arial Unicode MS"/>
          <w:i/>
          <w:kern w:val="3"/>
        </w:rPr>
        <w:t>ed</w:t>
      </w:r>
      <w:r w:rsidRPr="00246B45">
        <w:rPr>
          <w:rFonts w:eastAsia="Arial Unicode MS" w:cs="Arial Unicode MS"/>
          <w:i/>
          <w:kern w:val="3"/>
        </w:rPr>
        <w:t xml:space="preserve"> by legal or tax professionals</w:t>
      </w:r>
      <w:r>
        <w:rPr>
          <w:rFonts w:eastAsia="Arial Unicode MS" w:cs="Arial Unicode MS"/>
          <w:i/>
          <w:kern w:val="3"/>
        </w:rPr>
        <w:t>. They should never disclose any</w:t>
      </w:r>
      <w:r w:rsidRPr="00246B45">
        <w:rPr>
          <w:rFonts w:eastAsia="Arial Unicode MS" w:cs="Arial Unicode MS"/>
          <w:i/>
          <w:kern w:val="3"/>
        </w:rPr>
        <w:t xml:space="preserve"> confidential information </w:t>
      </w:r>
      <w:r>
        <w:rPr>
          <w:rFonts w:eastAsia="Arial Unicode MS" w:cs="Arial Unicode MS"/>
          <w:i/>
          <w:kern w:val="3"/>
        </w:rPr>
        <w:t>on</w:t>
      </w:r>
      <w:r w:rsidRPr="00246B45">
        <w:rPr>
          <w:rFonts w:eastAsia="Arial Unicode MS" w:cs="Arial Unicode MS"/>
          <w:i/>
          <w:kern w:val="3"/>
        </w:rPr>
        <w:t xml:space="preserve"> other clients or transactions. Any estimates of </w:t>
      </w:r>
      <w:r>
        <w:rPr>
          <w:rFonts w:eastAsia="Arial Unicode MS" w:cs="Arial Unicode MS"/>
          <w:i/>
          <w:kern w:val="3"/>
        </w:rPr>
        <w:t xml:space="preserve">transaction </w:t>
      </w:r>
      <w:r w:rsidRPr="00246B45">
        <w:rPr>
          <w:rFonts w:eastAsia="Arial Unicode MS" w:cs="Arial Unicode MS"/>
          <w:i/>
          <w:kern w:val="3"/>
        </w:rPr>
        <w:t>fees</w:t>
      </w:r>
      <w:r>
        <w:rPr>
          <w:rFonts w:eastAsia="Arial Unicode MS" w:cs="Arial Unicode MS"/>
          <w:i/>
          <w:kern w:val="3"/>
        </w:rPr>
        <w:t xml:space="preserve"> and expenses</w:t>
      </w:r>
      <w:r w:rsidRPr="00246B45">
        <w:rPr>
          <w:rFonts w:eastAsia="Arial Unicode MS" w:cs="Arial Unicode MS"/>
          <w:i/>
          <w:kern w:val="3"/>
        </w:rPr>
        <w:t xml:space="preserve"> should be clearly identified as “estimates” </w:t>
      </w:r>
      <w:r>
        <w:rPr>
          <w:rFonts w:eastAsia="Arial Unicode MS" w:cs="Arial Unicode MS"/>
          <w:i/>
          <w:kern w:val="3"/>
        </w:rPr>
        <w:t>and the valuation analysis should be unbiased.</w:t>
      </w:r>
    </w:p>
    <w:p w14:paraId="6682BA43" w14:textId="285DC5BE" w:rsidR="00246B45" w:rsidRPr="00246B45" w:rsidRDefault="00246B45" w:rsidP="007F25F6">
      <w:pPr>
        <w:pStyle w:val="NormalWeb"/>
        <w:spacing w:before="0" w:beforeAutospacing="0" w:after="240" w:afterAutospacing="0"/>
        <w:jc w:val="both"/>
        <w:rPr>
          <w:rFonts w:eastAsia="Arial Unicode MS" w:cs="Arial Unicode MS"/>
          <w:i/>
          <w:kern w:val="3"/>
        </w:rPr>
      </w:pPr>
    </w:p>
    <w:p w14:paraId="0A05B3AD" w14:textId="0EE3E43D" w:rsidR="00BF4D0E" w:rsidRPr="00B37288" w:rsidRDefault="00BF4D0E" w:rsidP="00CA71AE">
      <w:pPr>
        <w:pStyle w:val="NormalWeb"/>
        <w:spacing w:before="0" w:beforeAutospacing="0" w:after="240" w:afterAutospacing="0"/>
        <w:jc w:val="both"/>
        <w:rPr>
          <w:rFonts w:eastAsia="Arial Unicode MS" w:cs="Arial Unicode MS"/>
          <w:b/>
          <w:color w:val="0070C0"/>
          <w:kern w:val="3"/>
        </w:rPr>
      </w:pPr>
      <w:r w:rsidRPr="00B37288">
        <w:rPr>
          <w:rFonts w:eastAsia="Arial Unicode MS" w:cs="Arial Unicode MS"/>
          <w:b/>
          <w:color w:val="0070C0"/>
          <w:kern w:val="3"/>
        </w:rPr>
        <w:t>End boxed text here]</w:t>
      </w:r>
    </w:p>
    <w:p w14:paraId="17CAAA06" w14:textId="77777777" w:rsidR="00BF4D0E" w:rsidRPr="00B37288"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p>
    <w:p w14:paraId="54E9682B" w14:textId="77777777" w:rsidR="00BF4D0E" w:rsidRPr="00B37288"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sidRPr="00B37288">
        <w:rPr>
          <w:rFonts w:ascii="Times New Roman" w:eastAsia="Arial Unicode MS" w:hAnsi="Times New Roman" w:cs="Arial Unicode MS"/>
          <w:b/>
          <w:color w:val="0070C0"/>
          <w:kern w:val="3"/>
          <w:sz w:val="24"/>
          <w:szCs w:val="24"/>
        </w:rPr>
        <w:t>[Insert boxed text here</w:t>
      </w:r>
    </w:p>
    <w:p w14:paraId="194E181C" w14:textId="77777777" w:rsidR="00BF4D0E" w:rsidRPr="00B37288"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p>
    <w:p w14:paraId="63FF9F85" w14:textId="77777777" w:rsidR="00BF4D0E" w:rsidRPr="000D54BF" w:rsidRDefault="00BF4D0E" w:rsidP="00BF4D0E">
      <w:pPr>
        <w:spacing w:after="0" w:line="240" w:lineRule="auto"/>
        <w:jc w:val="both"/>
        <w:rPr>
          <w:b/>
          <w:i/>
          <w:color w:val="FF0000"/>
        </w:rPr>
      </w:pPr>
    </w:p>
    <w:p w14:paraId="609797BE" w14:textId="77777777" w:rsidR="00BF4D0E" w:rsidRPr="00E67FBB" w:rsidRDefault="00BF4D0E" w:rsidP="00BF4D0E">
      <w:pPr>
        <w:spacing w:after="0" w:line="240" w:lineRule="auto"/>
        <w:jc w:val="both"/>
        <w:rPr>
          <w:b/>
          <w:i/>
        </w:rPr>
      </w:pPr>
      <w:r w:rsidRPr="00E67FBB">
        <w:rPr>
          <w:b/>
          <w:i/>
        </w:rPr>
        <w:t>KEY TAKEAWAYS:</w:t>
      </w:r>
    </w:p>
    <w:p w14:paraId="2F34CEEC" w14:textId="77777777" w:rsidR="00D95C03" w:rsidRDefault="00D95C03" w:rsidP="00D95C03">
      <w:pPr>
        <w:widowControl w:val="0"/>
        <w:numPr>
          <w:ilvl w:val="0"/>
          <w:numId w:val="2"/>
        </w:numPr>
        <w:suppressAutoHyphens/>
        <w:autoSpaceDN w:val="0"/>
        <w:spacing w:after="0" w:line="240" w:lineRule="auto"/>
        <w:contextualSpacing/>
        <w:jc w:val="both"/>
        <w:textAlignment w:val="baseline"/>
        <w:rPr>
          <w:i/>
        </w:rPr>
      </w:pPr>
      <w:r>
        <w:rPr>
          <w:i/>
        </w:rPr>
        <w:t>The company’s cash flow and corporate structure determines the types of financing needed.</w:t>
      </w:r>
    </w:p>
    <w:p w14:paraId="17F2FC7E" w14:textId="77777777" w:rsidR="00D95C03" w:rsidRPr="00E67FBB" w:rsidRDefault="00D95C03" w:rsidP="00D95C03">
      <w:pPr>
        <w:widowControl w:val="0"/>
        <w:numPr>
          <w:ilvl w:val="0"/>
          <w:numId w:val="2"/>
        </w:numPr>
        <w:suppressAutoHyphens/>
        <w:autoSpaceDN w:val="0"/>
        <w:spacing w:after="0" w:line="240" w:lineRule="auto"/>
        <w:contextualSpacing/>
        <w:jc w:val="both"/>
        <w:textAlignment w:val="baseline"/>
        <w:rPr>
          <w:i/>
        </w:rPr>
      </w:pPr>
      <w:r>
        <w:rPr>
          <w:i/>
        </w:rPr>
        <w:t xml:space="preserve">The companies that are in the market for raising equity need to understand that fundamentals are more important than technicals. Having a good product, good management and feasibility in their future is more important than financial engineering and taking advantage of the over enthusiastic </w:t>
      </w:r>
      <w:r>
        <w:rPr>
          <w:i/>
        </w:rPr>
        <w:lastRenderedPageBreak/>
        <w:t>markets.</w:t>
      </w:r>
    </w:p>
    <w:p w14:paraId="5FCD2F8F" w14:textId="77777777" w:rsidR="00D95C03" w:rsidRDefault="00D95C03" w:rsidP="00D95C03">
      <w:pPr>
        <w:widowControl w:val="0"/>
        <w:numPr>
          <w:ilvl w:val="0"/>
          <w:numId w:val="2"/>
        </w:numPr>
        <w:suppressAutoHyphens/>
        <w:autoSpaceDN w:val="0"/>
        <w:spacing w:after="0" w:line="240" w:lineRule="auto"/>
        <w:contextualSpacing/>
        <w:jc w:val="both"/>
        <w:textAlignment w:val="baseline"/>
        <w:rPr>
          <w:i/>
        </w:rPr>
      </w:pPr>
      <w:r>
        <w:rPr>
          <w:i/>
        </w:rPr>
        <w:t xml:space="preserve">Valuations are very subjective given all the methods to derive them but at the end of the day, the actual value of the company is the price that someone is willing to pay for it. </w:t>
      </w:r>
    </w:p>
    <w:p w14:paraId="5DA66D38" w14:textId="77777777" w:rsidR="00D95C03" w:rsidRDefault="00D95C03" w:rsidP="00D95C03">
      <w:pPr>
        <w:widowControl w:val="0"/>
        <w:numPr>
          <w:ilvl w:val="0"/>
          <w:numId w:val="2"/>
        </w:numPr>
        <w:suppressAutoHyphens/>
        <w:autoSpaceDN w:val="0"/>
        <w:spacing w:after="0" w:line="240" w:lineRule="auto"/>
        <w:contextualSpacing/>
        <w:jc w:val="both"/>
        <w:textAlignment w:val="baseline"/>
        <w:rPr>
          <w:i/>
        </w:rPr>
      </w:pPr>
      <w:r>
        <w:rPr>
          <w:i/>
        </w:rPr>
        <w:t xml:space="preserve">Different cycles in the market or the economy can help or hinder access to equity financing. </w:t>
      </w:r>
    </w:p>
    <w:p w14:paraId="54B8E93D" w14:textId="77777777" w:rsidR="00D95C03" w:rsidRPr="00E67FBB" w:rsidRDefault="00D95C03" w:rsidP="00D95C03">
      <w:pPr>
        <w:widowControl w:val="0"/>
        <w:numPr>
          <w:ilvl w:val="0"/>
          <w:numId w:val="2"/>
        </w:numPr>
        <w:suppressAutoHyphens/>
        <w:autoSpaceDN w:val="0"/>
        <w:spacing w:after="0" w:line="240" w:lineRule="auto"/>
        <w:contextualSpacing/>
        <w:jc w:val="both"/>
        <w:textAlignment w:val="baseline"/>
        <w:rPr>
          <w:i/>
        </w:rPr>
      </w:pPr>
      <w:r>
        <w:rPr>
          <w:i/>
        </w:rPr>
        <w:t xml:space="preserve">The Securities and Exchange Commission (SEC) is in place to make sure that any publicly traded companies that are in the market to raise capital go through a rigorous process to protect the investor. </w:t>
      </w:r>
    </w:p>
    <w:p w14:paraId="7F60DBB9" w14:textId="26C6AF03" w:rsidR="0001555B" w:rsidRPr="00E67FBB" w:rsidRDefault="0001555B" w:rsidP="00D95C03">
      <w:pPr>
        <w:widowControl w:val="0"/>
        <w:suppressAutoHyphens/>
        <w:autoSpaceDN w:val="0"/>
        <w:spacing w:after="0" w:line="240" w:lineRule="auto"/>
        <w:ind w:left="720"/>
        <w:contextualSpacing/>
        <w:jc w:val="both"/>
        <w:textAlignment w:val="baseline"/>
        <w:rPr>
          <w:i/>
        </w:rPr>
      </w:pPr>
    </w:p>
    <w:p w14:paraId="40A1D69E" w14:textId="6175ECEE" w:rsidR="00BF4D0E" w:rsidRPr="00E67FBB" w:rsidRDefault="00BF4D0E" w:rsidP="00BF4D0E">
      <w:pPr>
        <w:widowControl w:val="0"/>
        <w:suppressAutoHyphens/>
        <w:autoSpaceDN w:val="0"/>
        <w:spacing w:after="0" w:line="240" w:lineRule="auto"/>
        <w:ind w:left="720"/>
        <w:contextualSpacing/>
        <w:jc w:val="both"/>
        <w:textAlignment w:val="baseline"/>
        <w:rPr>
          <w:i/>
        </w:rPr>
      </w:pPr>
    </w:p>
    <w:p w14:paraId="1BB33714" w14:textId="77777777" w:rsidR="00BF4D0E" w:rsidRPr="00E67FBB"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sidRPr="00E67FBB">
        <w:rPr>
          <w:rFonts w:ascii="Times New Roman" w:eastAsia="Arial Unicode MS" w:hAnsi="Times New Roman" w:cs="Arial Unicode MS"/>
          <w:b/>
          <w:color w:val="0070C0"/>
          <w:kern w:val="3"/>
          <w:sz w:val="24"/>
          <w:szCs w:val="24"/>
        </w:rPr>
        <w:t>End boxed text here]</w:t>
      </w:r>
    </w:p>
    <w:p w14:paraId="4554BF46" w14:textId="77777777" w:rsidR="00BF4D0E" w:rsidRPr="000D54BF" w:rsidRDefault="00BF4D0E" w:rsidP="00BF4D0E">
      <w:pPr>
        <w:widowControl w:val="0"/>
        <w:suppressAutoHyphens/>
        <w:autoSpaceDN w:val="0"/>
        <w:spacing w:after="0" w:line="240" w:lineRule="auto"/>
        <w:jc w:val="both"/>
        <w:textAlignment w:val="baseline"/>
        <w:rPr>
          <w:rFonts w:ascii="Times New Roman" w:eastAsia="Arial Unicode MS" w:hAnsi="Times New Roman" w:cs="Arial Unicode MS"/>
          <w:color w:val="FF0000"/>
          <w:kern w:val="3"/>
          <w:sz w:val="24"/>
          <w:szCs w:val="24"/>
        </w:rPr>
      </w:pPr>
    </w:p>
    <w:p w14:paraId="5F3AC56E" w14:textId="54FA68C2" w:rsidR="00BF4D0E" w:rsidRPr="00984EF4" w:rsidRDefault="004C5973" w:rsidP="00BF4D0E">
      <w:pPr>
        <w:widowControl w:val="0"/>
        <w:suppressAutoHyphens/>
        <w:autoSpaceDN w:val="0"/>
        <w:spacing w:after="0" w:line="240" w:lineRule="auto"/>
        <w:jc w:val="both"/>
        <w:textAlignment w:val="baseline"/>
        <w:rPr>
          <w:rFonts w:asciiTheme="majorHAnsi" w:eastAsiaTheme="majorEastAsia" w:hAnsiTheme="majorHAnsi" w:cs="Mangal"/>
          <w:color w:val="2F5496" w:themeColor="accent1" w:themeShade="BF"/>
          <w:kern w:val="3"/>
          <w:sz w:val="32"/>
          <w:szCs w:val="29"/>
        </w:rPr>
      </w:pPr>
      <w:r>
        <w:rPr>
          <w:rFonts w:asciiTheme="majorHAnsi" w:eastAsiaTheme="majorEastAsia" w:hAnsiTheme="majorHAnsi" w:cs="Mangal"/>
          <w:color w:val="2F5496" w:themeColor="accent1" w:themeShade="BF"/>
          <w:kern w:val="3"/>
          <w:sz w:val="32"/>
          <w:szCs w:val="29"/>
        </w:rPr>
        <w:t>The Life Cycle of the Public Company</w:t>
      </w:r>
    </w:p>
    <w:p w14:paraId="56EC30AC" w14:textId="77777777" w:rsidR="006B2433" w:rsidRDefault="006B2433" w:rsidP="006B2433">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60CF0AE6" w14:textId="77777777" w:rsidR="003E199F" w:rsidRDefault="003E199F" w:rsidP="007F63C5">
      <w:pPr>
        <w:jc w:val="both"/>
        <w:rPr>
          <w:rFonts w:ascii="Times New Roman" w:eastAsia="Arial Unicode MS" w:hAnsi="Times New Roman" w:cs="Arial Unicode MS"/>
          <w:b/>
          <w:color w:val="0070C0"/>
          <w:kern w:val="3"/>
          <w:sz w:val="24"/>
          <w:szCs w:val="24"/>
        </w:rPr>
      </w:pPr>
    </w:p>
    <w:p w14:paraId="5FA6C68C" w14:textId="11D62ED3" w:rsidR="005C3627" w:rsidRDefault="001E134D" w:rsidP="007F63C5">
      <w:pPr>
        <w:jc w:val="both"/>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Initial Public Offering</w:t>
      </w:r>
    </w:p>
    <w:p w14:paraId="1C50B2CD" w14:textId="77777777" w:rsidR="00B90940" w:rsidRDefault="00B90940" w:rsidP="00B90940">
      <w:pPr>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A company will seek equity financing from the public markets through a process called an Initial Public Offering (IPO). When the company is IPO ready (discussed below), they will choose to offer their equity to a large market of investors to meet the existing owner’s following objectives:</w:t>
      </w:r>
    </w:p>
    <w:p w14:paraId="5EE82156" w14:textId="77777777" w:rsidR="00B90940" w:rsidRDefault="00B90940" w:rsidP="00B90940">
      <w:pPr>
        <w:pStyle w:val="ListParagraph"/>
        <w:numPr>
          <w:ilvl w:val="0"/>
          <w:numId w:val="4"/>
        </w:numPr>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To provide liquidity for the founders and early private investors to sell their holdings to the public markets.</w:t>
      </w:r>
    </w:p>
    <w:p w14:paraId="0A53C94C" w14:textId="77777777" w:rsidR="00B90940" w:rsidRDefault="00B90940" w:rsidP="00B90940">
      <w:pPr>
        <w:pStyle w:val="ListParagraph"/>
        <w:numPr>
          <w:ilvl w:val="0"/>
          <w:numId w:val="4"/>
        </w:numPr>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To establish a broad-based valuation of the company by offering the stock to a large group of investors, hence increasing the existing value to the current owners that stay post-IPO.</w:t>
      </w:r>
    </w:p>
    <w:p w14:paraId="4B5E0F0C" w14:textId="77777777" w:rsidR="00B90940" w:rsidRDefault="00B90940" w:rsidP="00B90940">
      <w:pPr>
        <w:pStyle w:val="ListParagraph"/>
        <w:numPr>
          <w:ilvl w:val="0"/>
          <w:numId w:val="4"/>
        </w:numPr>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To fund the company’s ongoing needs and access follow-on financings.</w:t>
      </w:r>
    </w:p>
    <w:p w14:paraId="7274202A" w14:textId="77777777" w:rsidR="00B90940" w:rsidRPr="00A5515E" w:rsidRDefault="00B90940" w:rsidP="00B90940">
      <w:pPr>
        <w:pStyle w:val="ListParagraph"/>
        <w:numPr>
          <w:ilvl w:val="0"/>
          <w:numId w:val="4"/>
        </w:numPr>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To create stock that can be used to offer executives and employees retirement plans.</w:t>
      </w:r>
    </w:p>
    <w:p w14:paraId="6C02DF2B" w14:textId="77777777" w:rsidR="00B90940" w:rsidRDefault="00B90940" w:rsidP="00B90940">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p>
    <w:p w14:paraId="453874D3" w14:textId="2998E42A" w:rsidR="00B90940" w:rsidRDefault="00B90940" w:rsidP="00B90940">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r w:rsidRPr="0025073B">
        <w:rPr>
          <w:rFonts w:ascii="Times New Roman" w:eastAsia="Arial Unicode MS" w:hAnsi="Times New Roman" w:cs="Arial Unicode MS"/>
          <w:kern w:val="3"/>
          <w:sz w:val="24"/>
          <w:szCs w:val="24"/>
        </w:rPr>
        <w:t xml:space="preserve">Figure </w:t>
      </w:r>
      <w:r>
        <w:rPr>
          <w:rFonts w:ascii="Times New Roman" w:eastAsia="Arial Unicode MS" w:hAnsi="Times New Roman" w:cs="Arial Unicode MS"/>
          <w:kern w:val="3"/>
          <w:sz w:val="24"/>
          <w:szCs w:val="24"/>
        </w:rPr>
        <w:t>6.1</w:t>
      </w:r>
      <w:r w:rsidRPr="0025073B">
        <w:rPr>
          <w:rFonts w:ascii="Times New Roman" w:eastAsia="Arial Unicode MS" w:hAnsi="Times New Roman" w:cs="Arial Unicode MS"/>
          <w:kern w:val="3"/>
          <w:sz w:val="24"/>
          <w:szCs w:val="24"/>
        </w:rPr>
        <w:t xml:space="preserve"> below summarizes who these </w:t>
      </w:r>
      <w:r>
        <w:rPr>
          <w:rFonts w:ascii="Times New Roman" w:eastAsia="Arial Unicode MS" w:hAnsi="Times New Roman" w:cs="Arial Unicode MS"/>
          <w:kern w:val="3"/>
          <w:sz w:val="24"/>
          <w:szCs w:val="24"/>
        </w:rPr>
        <w:t>IPO</w:t>
      </w:r>
      <w:r w:rsidRPr="0025073B">
        <w:rPr>
          <w:rFonts w:ascii="Times New Roman" w:eastAsia="Arial Unicode MS" w:hAnsi="Times New Roman" w:cs="Arial Unicode MS"/>
          <w:kern w:val="3"/>
          <w:sz w:val="24"/>
          <w:szCs w:val="24"/>
        </w:rPr>
        <w:t xml:space="preserve"> investors</w:t>
      </w:r>
      <w:r>
        <w:rPr>
          <w:rFonts w:ascii="Times New Roman" w:eastAsia="Arial Unicode MS" w:hAnsi="Times New Roman" w:cs="Arial Unicode MS"/>
          <w:kern w:val="3"/>
          <w:sz w:val="24"/>
          <w:szCs w:val="24"/>
        </w:rPr>
        <w:t xml:space="preserve"> are</w:t>
      </w:r>
      <w:r w:rsidRPr="0025073B">
        <w:rPr>
          <w:rFonts w:ascii="Times New Roman" w:eastAsia="Arial Unicode MS" w:hAnsi="Times New Roman" w:cs="Arial Unicode MS"/>
          <w:kern w:val="3"/>
          <w:sz w:val="24"/>
          <w:szCs w:val="24"/>
        </w:rPr>
        <w:t xml:space="preserve">, the purpose of investment </w:t>
      </w:r>
      <w:r>
        <w:rPr>
          <w:rFonts w:ascii="Times New Roman" w:eastAsia="Arial Unicode MS" w:hAnsi="Times New Roman" w:cs="Arial Unicode MS"/>
          <w:kern w:val="3"/>
          <w:sz w:val="24"/>
          <w:szCs w:val="24"/>
        </w:rPr>
        <w:t xml:space="preserve">for the public investor </w:t>
      </w:r>
      <w:r w:rsidRPr="0025073B">
        <w:rPr>
          <w:rFonts w:ascii="Times New Roman" w:eastAsia="Arial Unicode MS" w:hAnsi="Times New Roman" w:cs="Arial Unicode MS"/>
          <w:kern w:val="3"/>
          <w:sz w:val="24"/>
          <w:szCs w:val="24"/>
        </w:rPr>
        <w:t xml:space="preserve">and what </w:t>
      </w:r>
      <w:r>
        <w:rPr>
          <w:rFonts w:ascii="Times New Roman" w:eastAsia="Arial Unicode MS" w:hAnsi="Times New Roman" w:cs="Arial Unicode MS"/>
          <w:kern w:val="3"/>
          <w:sz w:val="24"/>
          <w:szCs w:val="24"/>
        </w:rPr>
        <w:t xml:space="preserve">the owners </w:t>
      </w:r>
      <w:r w:rsidRPr="0025073B">
        <w:rPr>
          <w:rFonts w:ascii="Times New Roman" w:eastAsia="Arial Unicode MS" w:hAnsi="Times New Roman" w:cs="Arial Unicode MS"/>
          <w:kern w:val="3"/>
          <w:sz w:val="24"/>
          <w:szCs w:val="24"/>
        </w:rPr>
        <w:t>need</w:t>
      </w:r>
      <w:r>
        <w:rPr>
          <w:rFonts w:ascii="Times New Roman" w:eastAsia="Arial Unicode MS" w:hAnsi="Times New Roman" w:cs="Arial Unicode MS"/>
          <w:kern w:val="3"/>
          <w:sz w:val="24"/>
          <w:szCs w:val="24"/>
        </w:rPr>
        <w:t xml:space="preserve"> in order </w:t>
      </w:r>
      <w:r w:rsidRPr="0025073B">
        <w:rPr>
          <w:rFonts w:ascii="Times New Roman" w:eastAsia="Arial Unicode MS" w:hAnsi="Times New Roman" w:cs="Arial Unicode MS"/>
          <w:kern w:val="3"/>
          <w:sz w:val="24"/>
          <w:szCs w:val="24"/>
        </w:rPr>
        <w:t>to obtain such investment</w:t>
      </w:r>
      <w:r>
        <w:rPr>
          <w:rFonts w:ascii="Times New Roman" w:eastAsia="Arial Unicode MS" w:hAnsi="Times New Roman" w:cs="Arial Unicode MS"/>
          <w:kern w:val="3"/>
          <w:sz w:val="24"/>
          <w:szCs w:val="24"/>
        </w:rPr>
        <w:t xml:space="preserve"> (The IPO process is discussed in more detailed later this chapter)</w:t>
      </w:r>
      <w:r w:rsidRPr="0025073B">
        <w:rPr>
          <w:rFonts w:ascii="Times New Roman" w:eastAsia="Arial Unicode MS" w:hAnsi="Times New Roman" w:cs="Arial Unicode MS"/>
          <w:kern w:val="3"/>
          <w:sz w:val="24"/>
          <w:szCs w:val="24"/>
        </w:rPr>
        <w:t>:</w:t>
      </w:r>
    </w:p>
    <w:p w14:paraId="39E948DE" w14:textId="043E9A35" w:rsidR="00C61D93" w:rsidRDefault="00C61D93" w:rsidP="0025073B">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p>
    <w:p w14:paraId="00895DD8" w14:textId="2A10948A" w:rsidR="0013292B" w:rsidRDefault="0013292B" w:rsidP="0013292B">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r w:rsidRPr="00391404">
        <w:rPr>
          <w:rFonts w:ascii="Times New Roman" w:eastAsia="Arial Unicode MS" w:hAnsi="Times New Roman" w:cs="Arial Unicode MS"/>
          <w:b/>
          <w:color w:val="FF0000"/>
          <w:kern w:val="3"/>
          <w:sz w:val="24"/>
          <w:szCs w:val="24"/>
        </w:rPr>
        <w:t xml:space="preserve">Insert Figure </w:t>
      </w:r>
      <w:r w:rsidR="00E80315">
        <w:rPr>
          <w:rFonts w:ascii="Times New Roman" w:eastAsia="Arial Unicode MS" w:hAnsi="Times New Roman" w:cs="Arial Unicode MS"/>
          <w:b/>
          <w:color w:val="FF0000"/>
          <w:kern w:val="3"/>
          <w:sz w:val="24"/>
          <w:szCs w:val="24"/>
        </w:rPr>
        <w:t>6.1</w:t>
      </w:r>
    </w:p>
    <w:p w14:paraId="70AEA736" w14:textId="2839F9EB" w:rsidR="00180949" w:rsidRPr="0025073B" w:rsidRDefault="00B94244" w:rsidP="0025073B">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r w:rsidRPr="00B94244">
        <w:rPr>
          <w:noProof/>
        </w:rPr>
        <w:lastRenderedPageBreak/>
        <w:drawing>
          <wp:inline distT="0" distB="0" distL="0" distR="0" wp14:anchorId="238FDE97" wp14:editId="542ECA35">
            <wp:extent cx="5943600" cy="2393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93315"/>
                    </a:xfrm>
                    <a:prstGeom prst="rect">
                      <a:avLst/>
                    </a:prstGeom>
                    <a:noFill/>
                    <a:ln>
                      <a:noFill/>
                    </a:ln>
                  </pic:spPr>
                </pic:pic>
              </a:graphicData>
            </a:graphic>
          </wp:inline>
        </w:drawing>
      </w:r>
    </w:p>
    <w:p w14:paraId="74EF1418" w14:textId="440912E9" w:rsidR="0025073B" w:rsidRDefault="0025073B" w:rsidP="005C3627">
      <w:pPr>
        <w:rPr>
          <w:rFonts w:ascii="Times New Roman" w:eastAsia="Arial Unicode MS" w:hAnsi="Times New Roman" w:cs="Arial Unicode MS"/>
          <w:b/>
          <w:kern w:val="3"/>
          <w:sz w:val="24"/>
          <w:szCs w:val="24"/>
          <w:u w:val="single"/>
        </w:rPr>
      </w:pPr>
    </w:p>
    <w:p w14:paraId="2753CD33" w14:textId="77777777" w:rsidR="007A4C9A" w:rsidRDefault="007A4C9A" w:rsidP="007A4C9A">
      <w:pPr>
        <w:jc w:val="both"/>
        <w:rPr>
          <w:rFonts w:ascii="Times New Roman" w:eastAsia="Arial Unicode MS" w:hAnsi="Times New Roman" w:cs="Arial Unicode MS"/>
          <w:b/>
          <w:kern w:val="3"/>
          <w:sz w:val="24"/>
          <w:szCs w:val="24"/>
          <w:u w:val="single"/>
        </w:rPr>
      </w:pPr>
      <w:r>
        <w:rPr>
          <w:rFonts w:ascii="Times New Roman" w:eastAsia="Arial Unicode MS" w:hAnsi="Times New Roman" w:cs="Arial Unicode MS"/>
          <w:kern w:val="3"/>
          <w:sz w:val="24"/>
          <w:szCs w:val="24"/>
        </w:rPr>
        <w:t xml:space="preserve">The institutional and public investors investing in a new company during and post IPO are </w:t>
      </w:r>
      <w:bookmarkStart w:id="1" w:name="_Hlk257106"/>
      <w:r>
        <w:rPr>
          <w:rFonts w:ascii="Times New Roman" w:eastAsia="Arial Unicode MS" w:hAnsi="Times New Roman" w:cs="Arial Unicode MS"/>
          <w:kern w:val="3"/>
          <w:sz w:val="24"/>
          <w:szCs w:val="24"/>
        </w:rPr>
        <w:t>looking to enhance their returns through earnings growth and multiple expansion. If this becomes a reality, the broader market will gain confidence and drive the stock price up. It will also continue to increase in the future if expectations for these higher multiples of earnings (PE or EBITDA) are realized. Dividends can also be a source of income for these investors, though typically new IPO companies are still in a growth stage of their development and do not pay dividends.</w:t>
      </w:r>
      <w:bookmarkEnd w:id="1"/>
    </w:p>
    <w:p w14:paraId="0C6C4184" w14:textId="49409C81" w:rsidR="00A5515E" w:rsidRPr="00E13E1C" w:rsidRDefault="00E13E1C" w:rsidP="005C3627">
      <w:pPr>
        <w:rPr>
          <w:rFonts w:ascii="Times New Roman" w:eastAsia="Arial Unicode MS" w:hAnsi="Times New Roman" w:cs="Arial Unicode MS"/>
          <w:b/>
          <w:kern w:val="3"/>
          <w:sz w:val="24"/>
          <w:szCs w:val="24"/>
          <w:u w:val="single"/>
        </w:rPr>
      </w:pPr>
      <w:r w:rsidRPr="00E13E1C">
        <w:rPr>
          <w:rFonts w:ascii="Times New Roman" w:eastAsia="Arial Unicode MS" w:hAnsi="Times New Roman" w:cs="Arial Unicode MS"/>
          <w:b/>
          <w:kern w:val="3"/>
          <w:sz w:val="24"/>
          <w:szCs w:val="24"/>
          <w:u w:val="single"/>
        </w:rPr>
        <w:t>Raising Common Stock</w:t>
      </w:r>
      <w:r w:rsidR="00DE4A2F">
        <w:rPr>
          <w:rFonts w:ascii="Times New Roman" w:eastAsia="Arial Unicode MS" w:hAnsi="Times New Roman" w:cs="Arial Unicode MS"/>
          <w:b/>
          <w:kern w:val="3"/>
          <w:sz w:val="24"/>
          <w:szCs w:val="24"/>
          <w:u w:val="single"/>
        </w:rPr>
        <w:t xml:space="preserve"> in the Public Markets</w:t>
      </w:r>
      <w:r w:rsidR="00120594">
        <w:rPr>
          <w:rFonts w:ascii="Times New Roman" w:eastAsia="Arial Unicode MS" w:hAnsi="Times New Roman" w:cs="Arial Unicode MS"/>
          <w:b/>
          <w:kern w:val="3"/>
          <w:sz w:val="24"/>
          <w:szCs w:val="24"/>
          <w:u w:val="single"/>
        </w:rPr>
        <w:t xml:space="preserve"> </w:t>
      </w:r>
      <w:r w:rsidR="00E22C9C">
        <w:rPr>
          <w:rFonts w:ascii="Times New Roman" w:eastAsia="Arial Unicode MS" w:hAnsi="Times New Roman" w:cs="Arial Unicode MS"/>
          <w:b/>
          <w:kern w:val="3"/>
          <w:sz w:val="24"/>
          <w:szCs w:val="24"/>
          <w:u w:val="single"/>
        </w:rPr>
        <w:t xml:space="preserve">(Primary Market) </w:t>
      </w:r>
      <w:r w:rsidR="00120594">
        <w:rPr>
          <w:rFonts w:ascii="Times New Roman" w:eastAsia="Arial Unicode MS" w:hAnsi="Times New Roman" w:cs="Arial Unicode MS"/>
          <w:b/>
          <w:kern w:val="3"/>
          <w:sz w:val="24"/>
          <w:szCs w:val="24"/>
          <w:u w:val="single"/>
        </w:rPr>
        <w:t xml:space="preserve">and Post-IPO </w:t>
      </w:r>
      <w:r w:rsidR="00DF5E4C">
        <w:rPr>
          <w:rFonts w:ascii="Times New Roman" w:eastAsia="Arial Unicode MS" w:hAnsi="Times New Roman" w:cs="Arial Unicode MS"/>
          <w:b/>
          <w:kern w:val="3"/>
          <w:sz w:val="24"/>
          <w:szCs w:val="24"/>
          <w:u w:val="single"/>
        </w:rPr>
        <w:t xml:space="preserve">shareholder rights and </w:t>
      </w:r>
      <w:r w:rsidR="00120594">
        <w:rPr>
          <w:rFonts w:ascii="Times New Roman" w:eastAsia="Arial Unicode MS" w:hAnsi="Times New Roman" w:cs="Arial Unicode MS"/>
          <w:b/>
          <w:kern w:val="3"/>
          <w:sz w:val="24"/>
          <w:szCs w:val="24"/>
          <w:u w:val="single"/>
        </w:rPr>
        <w:t>trading</w:t>
      </w:r>
      <w:r w:rsidR="00E22C9C">
        <w:rPr>
          <w:rFonts w:ascii="Times New Roman" w:eastAsia="Arial Unicode MS" w:hAnsi="Times New Roman" w:cs="Arial Unicode MS"/>
          <w:b/>
          <w:kern w:val="3"/>
          <w:sz w:val="24"/>
          <w:szCs w:val="24"/>
          <w:u w:val="single"/>
        </w:rPr>
        <w:t xml:space="preserve"> (Secondary Market)</w:t>
      </w:r>
    </w:p>
    <w:p w14:paraId="7156F250" w14:textId="77777777" w:rsidR="00FB5BE9" w:rsidRDefault="00FB5BE9" w:rsidP="00FB5BE9">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Common stock is the most widely held equity security. Investors receive stock certificates that represent the company’s ownership. The state that the company is incorporated in needs to approve the number of shares that will be issued, known as authorized stock or capital stock. These shares are referred to as outstanding shares once they are in the hands of the investors. If the company decides to buy back shares from the public, these shares that are purchased are called treasury shares and are valued and accounted for as a negative number on their balance sheet. When calculating the company’s enterprise value these treasury shares are not included in the calculation. </w:t>
      </w:r>
    </w:p>
    <w:p w14:paraId="4238BDE3" w14:textId="77777777" w:rsidR="00A13147" w:rsidRDefault="002640C6" w:rsidP="008D55B6">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The </w:t>
      </w:r>
      <w:r w:rsidR="00A13147">
        <w:rPr>
          <w:rFonts w:ascii="Times New Roman" w:eastAsia="Arial Unicode MS" w:hAnsi="Times New Roman" w:cs="Arial Unicode MS"/>
          <w:kern w:val="3"/>
          <w:sz w:val="24"/>
          <w:szCs w:val="24"/>
        </w:rPr>
        <w:t>investors that buy these shares have the following rights:</w:t>
      </w:r>
    </w:p>
    <w:p w14:paraId="77FF1664" w14:textId="77777777" w:rsidR="0030692C" w:rsidRDefault="0030692C" w:rsidP="0030692C">
      <w:pPr>
        <w:pStyle w:val="ListParagraph"/>
        <w:numPr>
          <w:ilvl w:val="0"/>
          <w:numId w:val="5"/>
        </w:numPr>
        <w:jc w:val="both"/>
        <w:rPr>
          <w:rFonts w:ascii="Times New Roman" w:eastAsia="Arial Unicode MS" w:hAnsi="Times New Roman" w:cs="Arial Unicode MS"/>
          <w:kern w:val="3"/>
          <w:sz w:val="24"/>
          <w:szCs w:val="24"/>
        </w:rPr>
      </w:pPr>
      <w:r w:rsidRPr="009F733B">
        <w:rPr>
          <w:rFonts w:ascii="Times New Roman" w:eastAsia="Arial Unicode MS" w:hAnsi="Times New Roman" w:cs="Arial Unicode MS"/>
          <w:b/>
          <w:kern w:val="3"/>
          <w:sz w:val="24"/>
          <w:szCs w:val="24"/>
        </w:rPr>
        <w:t>Voting Rights</w:t>
      </w:r>
      <w:r>
        <w:rPr>
          <w:rFonts w:ascii="Times New Roman" w:eastAsia="Arial Unicode MS" w:hAnsi="Times New Roman" w:cs="Arial Unicode MS"/>
          <w:kern w:val="3"/>
          <w:sz w:val="24"/>
          <w:szCs w:val="24"/>
        </w:rPr>
        <w:t xml:space="preserve">: Holders of common stock exercise control by electing the board of directors that vote on corporate policy. Each share gives the shareholder a share of the vote that represents their percentage of ownership as a percentage of total shares outstanding. The voting can be carried out by either a Statutory voting method or Cumulative voting method. The Statutory voting method is based on the stocks that the shareholders owns – one share = one vote. The Cumulative voting method is based on allocating the shares that the shareholder owns to each candidate. </w:t>
      </w:r>
    </w:p>
    <w:p w14:paraId="100AEDDF" w14:textId="77777777" w:rsidR="0030692C" w:rsidRDefault="0030692C" w:rsidP="0030692C">
      <w:pPr>
        <w:pStyle w:val="ListParagraph"/>
        <w:numPr>
          <w:ilvl w:val="0"/>
          <w:numId w:val="5"/>
        </w:numPr>
        <w:jc w:val="both"/>
        <w:rPr>
          <w:rFonts w:ascii="Times New Roman" w:eastAsia="Arial Unicode MS" w:hAnsi="Times New Roman" w:cs="Arial Unicode MS"/>
          <w:kern w:val="3"/>
          <w:sz w:val="24"/>
          <w:szCs w:val="24"/>
        </w:rPr>
      </w:pPr>
      <w:bookmarkStart w:id="2" w:name="_Hlk260285"/>
      <w:r>
        <w:rPr>
          <w:rFonts w:ascii="Times New Roman" w:eastAsia="Arial Unicode MS" w:hAnsi="Times New Roman" w:cs="Arial Unicode MS"/>
          <w:b/>
          <w:kern w:val="3"/>
          <w:sz w:val="24"/>
          <w:szCs w:val="24"/>
        </w:rPr>
        <w:t>Financial Reporting and Company Information</w:t>
      </w:r>
      <w:bookmarkEnd w:id="2"/>
      <w:r w:rsidRPr="0028501D">
        <w:rPr>
          <w:rFonts w:ascii="Times New Roman" w:eastAsia="Arial Unicode MS" w:hAnsi="Times New Roman" w:cs="Arial Unicode MS"/>
          <w:kern w:val="3"/>
          <w:sz w:val="24"/>
          <w:szCs w:val="24"/>
        </w:rPr>
        <w:t>:</w:t>
      </w:r>
      <w:r>
        <w:rPr>
          <w:rFonts w:ascii="Times New Roman" w:eastAsia="Arial Unicode MS" w:hAnsi="Times New Roman" w:cs="Arial Unicode MS"/>
          <w:kern w:val="3"/>
          <w:sz w:val="24"/>
          <w:szCs w:val="24"/>
        </w:rPr>
        <w:t xml:space="preserve"> Shareholders have the right to access certain financial information regarding the company including </w:t>
      </w:r>
      <w:bookmarkStart w:id="3" w:name="_Hlk260342"/>
      <w:r>
        <w:rPr>
          <w:rFonts w:ascii="Times New Roman" w:eastAsia="Arial Unicode MS" w:hAnsi="Times New Roman" w:cs="Arial Unicode MS"/>
          <w:kern w:val="3"/>
          <w:sz w:val="24"/>
          <w:szCs w:val="24"/>
        </w:rPr>
        <w:t xml:space="preserve">audited annual reports and quarterly financial statements </w:t>
      </w:r>
      <w:bookmarkEnd w:id="3"/>
    </w:p>
    <w:p w14:paraId="06868122" w14:textId="527D8DF3" w:rsidR="00787F04" w:rsidRDefault="00787F04" w:rsidP="00787F04">
      <w:pPr>
        <w:pStyle w:val="ListParagraph"/>
        <w:numPr>
          <w:ilvl w:val="0"/>
          <w:numId w:val="5"/>
        </w:numPr>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rPr>
        <w:lastRenderedPageBreak/>
        <w:t>Dividends</w:t>
      </w:r>
      <w:r w:rsidRPr="007E57FC">
        <w:rPr>
          <w:rFonts w:ascii="Times New Roman" w:eastAsia="Arial Unicode MS" w:hAnsi="Times New Roman" w:cs="Arial Unicode MS"/>
          <w:kern w:val="3"/>
          <w:sz w:val="24"/>
          <w:szCs w:val="24"/>
        </w:rPr>
        <w:t>:</w:t>
      </w:r>
      <w:r>
        <w:rPr>
          <w:rFonts w:ascii="Times New Roman" w:eastAsia="Arial Unicode MS" w:hAnsi="Times New Roman" w:cs="Arial Unicode MS"/>
          <w:kern w:val="3"/>
          <w:sz w:val="24"/>
          <w:szCs w:val="24"/>
        </w:rPr>
        <w:t xml:space="preserve"> There are two ways that a shareholder can profit from buying stock: Capital gain which is buying the stock at one price and selling it for a higher price with the difference resulting as the return or by receiving dividends. Shareholders always have the right to receive dividends when the company decides to pay them, something that is not always a guarantee. Companies are free to decide whether to payout their cash flow as dividends or to reinvest part or all the sum into the business. This is a decision that is at the discretion of the board of directors who will weigh future growth possibilities of the company and the capital requirements needed to achieve them. Companies, especially growth companies, may decide not to pay dividends and instead reinvest the profits to grow the company resulting in a higher pay off in the future.</w:t>
      </w:r>
    </w:p>
    <w:p w14:paraId="7114A873" w14:textId="77777777" w:rsidR="00787F04" w:rsidRPr="00184CD5" w:rsidRDefault="00787F04" w:rsidP="00787F04">
      <w:pPr>
        <w:pStyle w:val="ListParagraph"/>
        <w:numPr>
          <w:ilvl w:val="0"/>
          <w:numId w:val="5"/>
        </w:numPr>
        <w:jc w:val="both"/>
        <w:rPr>
          <w:rFonts w:ascii="Times New Roman" w:eastAsia="Arial Unicode MS" w:hAnsi="Times New Roman" w:cs="Arial Unicode MS"/>
          <w:b/>
          <w:kern w:val="3"/>
          <w:sz w:val="24"/>
          <w:szCs w:val="24"/>
        </w:rPr>
      </w:pPr>
      <w:r w:rsidRPr="00BB5CFD">
        <w:rPr>
          <w:rFonts w:ascii="Times New Roman" w:eastAsia="Arial Unicode MS" w:hAnsi="Times New Roman" w:cs="Arial Unicode MS"/>
          <w:b/>
          <w:kern w:val="3"/>
          <w:sz w:val="24"/>
          <w:szCs w:val="24"/>
        </w:rPr>
        <w:t xml:space="preserve">Pre-emptive Rights:  </w:t>
      </w:r>
      <w:r>
        <w:rPr>
          <w:rFonts w:ascii="Times New Roman" w:eastAsia="Arial Unicode MS" w:hAnsi="Times New Roman" w:cs="Arial Unicode MS"/>
          <w:kern w:val="3"/>
          <w:sz w:val="24"/>
          <w:szCs w:val="24"/>
        </w:rPr>
        <w:t>When a company decides to raise additional common stock, the existing shareholders are occasionally given pre-emptive rights or the right to buy newly issued stock before the shares are sold to the public. This is mainly to give current shareholders the option to keep the same percentage of ownership – basically to prevent dilution. These rights are not common in the US markets but are seen more in younger companies that are still in their growth stages.</w:t>
      </w:r>
    </w:p>
    <w:p w14:paraId="506B81E0" w14:textId="2FEBDCE8" w:rsidR="0030692C" w:rsidRPr="00184CD5" w:rsidRDefault="0030692C" w:rsidP="0030692C">
      <w:pPr>
        <w:pStyle w:val="ListParagraph"/>
        <w:numPr>
          <w:ilvl w:val="0"/>
          <w:numId w:val="5"/>
        </w:numPr>
        <w:jc w:val="both"/>
        <w:rPr>
          <w:rFonts w:ascii="Times New Roman" w:eastAsia="Arial Unicode MS" w:hAnsi="Times New Roman" w:cs="Arial Unicode MS"/>
          <w:b/>
          <w:kern w:val="3"/>
          <w:sz w:val="24"/>
          <w:szCs w:val="24"/>
        </w:rPr>
      </w:pPr>
    </w:p>
    <w:p w14:paraId="476241C5" w14:textId="77777777" w:rsidR="0030692C" w:rsidRPr="00184CD5" w:rsidRDefault="0030692C" w:rsidP="0030692C">
      <w:pPr>
        <w:jc w:val="both"/>
        <w:rPr>
          <w:rFonts w:ascii="Times New Roman" w:eastAsia="Arial Unicode MS" w:hAnsi="Times New Roman" w:cs="Arial Unicode MS"/>
          <w:b/>
          <w:kern w:val="3"/>
          <w:sz w:val="24"/>
          <w:szCs w:val="24"/>
        </w:rPr>
      </w:pPr>
      <w:r>
        <w:rPr>
          <w:rFonts w:ascii="Times New Roman" w:eastAsia="Arial Unicode MS" w:hAnsi="Times New Roman" w:cs="Arial Unicode MS"/>
          <w:b/>
          <w:kern w:val="3"/>
          <w:sz w:val="24"/>
          <w:szCs w:val="24"/>
          <w:u w:val="single"/>
        </w:rPr>
        <w:t>Dividend Payment Process:</w:t>
      </w:r>
      <w:r w:rsidRPr="00184CD5">
        <w:rPr>
          <w:rFonts w:ascii="Times New Roman" w:eastAsia="Arial Unicode MS" w:hAnsi="Times New Roman" w:cs="Arial Unicode MS"/>
          <w:kern w:val="3"/>
          <w:sz w:val="24"/>
          <w:szCs w:val="24"/>
        </w:rPr>
        <w:t xml:space="preserve"> </w:t>
      </w:r>
      <w:r w:rsidRPr="00184CD5">
        <w:rPr>
          <w:rFonts w:ascii="Times New Roman" w:eastAsia="Arial Unicode MS" w:hAnsi="Times New Roman" w:cs="Arial Unicode MS"/>
          <w:b/>
          <w:kern w:val="3"/>
          <w:sz w:val="24"/>
          <w:szCs w:val="24"/>
        </w:rPr>
        <w:t xml:space="preserve">    </w:t>
      </w:r>
    </w:p>
    <w:p w14:paraId="67EF78C2" w14:textId="77777777" w:rsidR="002D6834" w:rsidRDefault="002D6834" w:rsidP="002D6834">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The process of dividend payment is outlined by understanding a congregation of important dates:</w:t>
      </w:r>
    </w:p>
    <w:p w14:paraId="68F89AF1" w14:textId="77777777" w:rsidR="002D6834" w:rsidRDefault="002D6834" w:rsidP="002D6834">
      <w:pPr>
        <w:pStyle w:val="ListParagraph"/>
        <w:numPr>
          <w:ilvl w:val="0"/>
          <w:numId w:val="6"/>
        </w:numPr>
        <w:jc w:val="both"/>
        <w:rPr>
          <w:rFonts w:ascii="Times New Roman" w:eastAsia="Arial Unicode MS" w:hAnsi="Times New Roman" w:cs="Arial Unicode MS"/>
          <w:kern w:val="3"/>
          <w:sz w:val="24"/>
          <w:szCs w:val="24"/>
        </w:rPr>
      </w:pPr>
      <w:bookmarkStart w:id="4" w:name="_Hlk260877"/>
      <w:r w:rsidRPr="00B34E01">
        <w:rPr>
          <w:rFonts w:ascii="Times New Roman" w:eastAsia="Arial Unicode MS" w:hAnsi="Times New Roman" w:cs="Arial Unicode MS"/>
          <w:b/>
          <w:kern w:val="3"/>
          <w:sz w:val="24"/>
          <w:szCs w:val="24"/>
        </w:rPr>
        <w:t>Declaration Date</w:t>
      </w:r>
      <w:r>
        <w:rPr>
          <w:rFonts w:ascii="Times New Roman" w:eastAsia="Arial Unicode MS" w:hAnsi="Times New Roman" w:cs="Arial Unicode MS"/>
          <w:kern w:val="3"/>
          <w:sz w:val="24"/>
          <w:szCs w:val="24"/>
        </w:rPr>
        <w:t>: This is the date by which the board of directors declares dividends. In their announcement they mention two other dates including the record date and the payable date.</w:t>
      </w:r>
    </w:p>
    <w:p w14:paraId="245D020B" w14:textId="77777777" w:rsidR="002D6834" w:rsidRDefault="002D6834" w:rsidP="002D6834">
      <w:pPr>
        <w:pStyle w:val="ListParagraph"/>
        <w:numPr>
          <w:ilvl w:val="0"/>
          <w:numId w:val="6"/>
        </w:numPr>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rPr>
        <w:t>Record Date</w:t>
      </w:r>
      <w:r w:rsidRPr="000102FC">
        <w:rPr>
          <w:rFonts w:ascii="Times New Roman" w:eastAsia="Arial Unicode MS" w:hAnsi="Times New Roman" w:cs="Arial Unicode MS"/>
          <w:kern w:val="3"/>
          <w:sz w:val="24"/>
          <w:szCs w:val="24"/>
        </w:rPr>
        <w:t>:</w:t>
      </w:r>
      <w:r>
        <w:rPr>
          <w:rFonts w:ascii="Times New Roman" w:eastAsia="Arial Unicode MS" w:hAnsi="Times New Roman" w:cs="Arial Unicode MS"/>
          <w:kern w:val="3"/>
          <w:sz w:val="24"/>
          <w:szCs w:val="24"/>
        </w:rPr>
        <w:t xml:space="preserve"> This is the date where which the shareholder must register on or before that date to receive the dividend.</w:t>
      </w:r>
    </w:p>
    <w:p w14:paraId="1F242874" w14:textId="77777777" w:rsidR="002D6834" w:rsidRDefault="002D6834" w:rsidP="002D6834">
      <w:pPr>
        <w:pStyle w:val="ListParagraph"/>
        <w:numPr>
          <w:ilvl w:val="0"/>
          <w:numId w:val="6"/>
        </w:numPr>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rPr>
        <w:t>Payable Date</w:t>
      </w:r>
      <w:r w:rsidRPr="007B1EE7">
        <w:rPr>
          <w:rFonts w:ascii="Times New Roman" w:eastAsia="Arial Unicode MS" w:hAnsi="Times New Roman" w:cs="Arial Unicode MS"/>
          <w:kern w:val="3"/>
          <w:sz w:val="24"/>
          <w:szCs w:val="24"/>
        </w:rPr>
        <w:t>:</w:t>
      </w:r>
      <w:r>
        <w:rPr>
          <w:rFonts w:ascii="Times New Roman" w:eastAsia="Arial Unicode MS" w:hAnsi="Times New Roman" w:cs="Arial Unicode MS"/>
          <w:kern w:val="3"/>
          <w:sz w:val="24"/>
          <w:szCs w:val="24"/>
        </w:rPr>
        <w:t xml:space="preserve"> This is the date that the dividend is paid to the shareholder on record.</w:t>
      </w:r>
    </w:p>
    <w:p w14:paraId="4930B66B" w14:textId="77777777" w:rsidR="002D6834" w:rsidRPr="00B34E01" w:rsidRDefault="002D6834" w:rsidP="002D6834">
      <w:pPr>
        <w:pStyle w:val="ListParagraph"/>
        <w:numPr>
          <w:ilvl w:val="0"/>
          <w:numId w:val="6"/>
        </w:numPr>
        <w:jc w:val="both"/>
        <w:rPr>
          <w:rFonts w:ascii="Times New Roman" w:eastAsia="Arial Unicode MS" w:hAnsi="Times New Roman" w:cs="Arial Unicode MS"/>
          <w:kern w:val="3"/>
          <w:sz w:val="24"/>
          <w:szCs w:val="24"/>
        </w:rPr>
      </w:pPr>
      <w:r w:rsidRPr="008F154D">
        <w:rPr>
          <w:rFonts w:ascii="Times New Roman" w:eastAsia="Arial Unicode MS" w:hAnsi="Times New Roman" w:cs="Arial Unicode MS"/>
          <w:b/>
          <w:kern w:val="3"/>
          <w:sz w:val="24"/>
          <w:szCs w:val="24"/>
        </w:rPr>
        <w:t>Ex-Dividend Date</w:t>
      </w:r>
      <w:r>
        <w:rPr>
          <w:rFonts w:ascii="Times New Roman" w:eastAsia="Arial Unicode MS" w:hAnsi="Times New Roman" w:cs="Arial Unicode MS"/>
          <w:kern w:val="3"/>
          <w:sz w:val="24"/>
          <w:szCs w:val="24"/>
        </w:rPr>
        <w:t>: This is the date 2 business days prior to the record date. Any regular way trades of the stock take 3 days to settle (T+3) which will give the official title of the stock. The ex-dividend date is the first date where a buyer can purchase the stock without receiving the dividend. Figure 6.2 gives an illustration of who receives it and when the dividend is paid.</w:t>
      </w:r>
    </w:p>
    <w:bookmarkEnd w:id="4"/>
    <w:p w14:paraId="30E1D16E" w14:textId="42722614" w:rsidR="0013292B" w:rsidRDefault="0013292B" w:rsidP="0013292B">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r w:rsidRPr="00391404">
        <w:rPr>
          <w:rFonts w:ascii="Times New Roman" w:eastAsia="Arial Unicode MS" w:hAnsi="Times New Roman" w:cs="Arial Unicode MS"/>
          <w:b/>
          <w:color w:val="FF0000"/>
          <w:kern w:val="3"/>
          <w:sz w:val="24"/>
          <w:szCs w:val="24"/>
        </w:rPr>
        <w:t xml:space="preserve">Insert Figure </w:t>
      </w:r>
      <w:r w:rsidR="008D1C27">
        <w:rPr>
          <w:rFonts w:ascii="Times New Roman" w:eastAsia="Arial Unicode MS" w:hAnsi="Times New Roman" w:cs="Arial Unicode MS"/>
          <w:b/>
          <w:color w:val="FF0000"/>
          <w:kern w:val="3"/>
          <w:sz w:val="24"/>
          <w:szCs w:val="24"/>
        </w:rPr>
        <w:t>6.2</w:t>
      </w:r>
    </w:p>
    <w:p w14:paraId="1323F732" w14:textId="77777777" w:rsidR="00C67A20" w:rsidRDefault="00C67A20" w:rsidP="0013292B">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770ED135" w14:textId="649F18D8" w:rsidR="00304F31" w:rsidRDefault="00D4088F" w:rsidP="005C3627">
      <w:pPr>
        <w:rPr>
          <w:rFonts w:ascii="Times New Roman" w:eastAsia="Arial Unicode MS" w:hAnsi="Times New Roman" w:cs="Arial Unicode MS"/>
          <w:kern w:val="3"/>
          <w:sz w:val="24"/>
          <w:szCs w:val="24"/>
        </w:rPr>
      </w:pPr>
      <w:r w:rsidRPr="00D4088F">
        <w:rPr>
          <w:noProof/>
        </w:rPr>
        <w:lastRenderedPageBreak/>
        <w:drawing>
          <wp:inline distT="0" distB="0" distL="0" distR="0" wp14:anchorId="677BE155" wp14:editId="372A161D">
            <wp:extent cx="4881245" cy="407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1245" cy="4076700"/>
                    </a:xfrm>
                    <a:prstGeom prst="rect">
                      <a:avLst/>
                    </a:prstGeom>
                    <a:noFill/>
                    <a:ln>
                      <a:noFill/>
                    </a:ln>
                  </pic:spPr>
                </pic:pic>
              </a:graphicData>
            </a:graphic>
          </wp:inline>
        </w:drawing>
      </w:r>
    </w:p>
    <w:p w14:paraId="65471914" w14:textId="380A0F40" w:rsidR="00304F31" w:rsidRPr="000D0D2F" w:rsidRDefault="00D44C22" w:rsidP="005C3627">
      <w:pPr>
        <w:rPr>
          <w:rFonts w:ascii="Times New Roman" w:eastAsia="Arial Unicode MS" w:hAnsi="Times New Roman" w:cs="Arial Unicode MS"/>
          <w:b/>
          <w:kern w:val="3"/>
          <w:sz w:val="24"/>
          <w:szCs w:val="24"/>
          <w:u w:val="single"/>
        </w:rPr>
      </w:pPr>
      <w:r w:rsidRPr="000D0D2F">
        <w:rPr>
          <w:rFonts w:ascii="Times New Roman" w:eastAsia="Arial Unicode MS" w:hAnsi="Times New Roman" w:cs="Arial Unicode MS"/>
          <w:b/>
          <w:kern w:val="3"/>
          <w:sz w:val="24"/>
          <w:szCs w:val="24"/>
          <w:u w:val="single"/>
        </w:rPr>
        <w:t>Stock Splits</w:t>
      </w:r>
    </w:p>
    <w:p w14:paraId="1852BF18" w14:textId="639C095D" w:rsidR="00BC2ED3" w:rsidRDefault="00BC2ED3" w:rsidP="00BC2ED3">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A stock split occurs when a </w:t>
      </w:r>
      <w:bookmarkStart w:id="5" w:name="_Hlk261002"/>
      <w:r>
        <w:rPr>
          <w:rFonts w:ascii="Times New Roman" w:eastAsia="Arial Unicode MS" w:hAnsi="Times New Roman" w:cs="Arial Unicode MS"/>
          <w:kern w:val="3"/>
          <w:sz w:val="24"/>
          <w:szCs w:val="24"/>
        </w:rPr>
        <w:t>company believes the price per share is too high to keep buyers interested in purchasing shares</w:t>
      </w:r>
      <w:bookmarkEnd w:id="5"/>
      <w:r>
        <w:rPr>
          <w:rFonts w:ascii="Times New Roman" w:eastAsia="Arial Unicode MS" w:hAnsi="Times New Roman" w:cs="Arial Unicode MS"/>
          <w:kern w:val="3"/>
          <w:sz w:val="24"/>
          <w:szCs w:val="24"/>
        </w:rPr>
        <w:t xml:space="preserve">. This of course is due to the perception that the market of buyers shrinks once the stock price is too high, as the common unsophisticated investor looks for other cheaper stocks to purchase instead. For example, a </w:t>
      </w:r>
      <w:bookmarkStart w:id="6" w:name="_Hlk261035"/>
      <w:r>
        <w:rPr>
          <w:rFonts w:ascii="Times New Roman" w:eastAsia="Arial Unicode MS" w:hAnsi="Times New Roman" w:cs="Arial Unicode MS"/>
          <w:kern w:val="3"/>
          <w:sz w:val="24"/>
          <w:szCs w:val="24"/>
        </w:rPr>
        <w:t>2-for-1 split of a stock that is trading at $50 will result in the stock trading at $25 ($50/2).</w:t>
      </w:r>
      <w:bookmarkEnd w:id="6"/>
      <w:r>
        <w:rPr>
          <w:rFonts w:ascii="Times New Roman" w:eastAsia="Arial Unicode MS" w:hAnsi="Times New Roman" w:cs="Arial Unicode MS"/>
          <w:kern w:val="3"/>
          <w:sz w:val="24"/>
          <w:szCs w:val="24"/>
        </w:rPr>
        <w:t xml:space="preserve"> Note that </w:t>
      </w:r>
      <w:bookmarkStart w:id="7" w:name="_Hlk261069"/>
      <w:r>
        <w:rPr>
          <w:rFonts w:ascii="Times New Roman" w:eastAsia="Arial Unicode MS" w:hAnsi="Times New Roman" w:cs="Arial Unicode MS"/>
          <w:kern w:val="3"/>
          <w:sz w:val="24"/>
          <w:szCs w:val="24"/>
        </w:rPr>
        <w:t>holders of the stock will double their shares</w:t>
      </w:r>
      <w:bookmarkEnd w:id="7"/>
      <w:r>
        <w:rPr>
          <w:rFonts w:ascii="Times New Roman" w:eastAsia="Arial Unicode MS" w:hAnsi="Times New Roman" w:cs="Arial Unicode MS"/>
          <w:kern w:val="3"/>
          <w:sz w:val="24"/>
          <w:szCs w:val="24"/>
        </w:rPr>
        <w:t xml:space="preserve"> at the time of the split, preventing dilution of current investors. A reverse split is when the stock price is too </w:t>
      </w:r>
      <w:r w:rsidR="00A02768">
        <w:rPr>
          <w:rFonts w:ascii="Times New Roman" w:eastAsia="Arial Unicode MS" w:hAnsi="Times New Roman" w:cs="Arial Unicode MS"/>
          <w:kern w:val="3"/>
          <w:sz w:val="24"/>
          <w:szCs w:val="24"/>
        </w:rPr>
        <w:t>low,</w:t>
      </w:r>
      <w:r>
        <w:rPr>
          <w:rFonts w:ascii="Times New Roman" w:eastAsia="Arial Unicode MS" w:hAnsi="Times New Roman" w:cs="Arial Unicode MS"/>
          <w:kern w:val="3"/>
          <w:sz w:val="24"/>
          <w:szCs w:val="24"/>
        </w:rPr>
        <w:t xml:space="preserve"> and the company decides to reduce the number of overall shares to increase the per unit price. For this to occur it usually indicates that current perception of the stock is weak, growing weaker, and the low per share price is contributing to that perception. For example, in a 1-for-5 reverse split, five $5 shares become one $25 share (5x$5).   </w:t>
      </w:r>
    </w:p>
    <w:p w14:paraId="21460B5D" w14:textId="77777777" w:rsidR="00B22C8A" w:rsidRDefault="00B22C8A" w:rsidP="005C3627">
      <w:pPr>
        <w:rPr>
          <w:rFonts w:ascii="Times New Roman" w:eastAsia="Arial Unicode MS" w:hAnsi="Times New Roman" w:cs="Arial Unicode MS"/>
          <w:b/>
          <w:kern w:val="3"/>
          <w:sz w:val="24"/>
          <w:szCs w:val="24"/>
          <w:u w:val="single"/>
        </w:rPr>
      </w:pPr>
    </w:p>
    <w:p w14:paraId="1CCB5C9A" w14:textId="057CD6B8" w:rsidR="00304F31" w:rsidRPr="00685CF9" w:rsidRDefault="0013274F" w:rsidP="005C3627">
      <w:pPr>
        <w:rPr>
          <w:rFonts w:ascii="Times New Roman" w:eastAsia="Arial Unicode MS" w:hAnsi="Times New Roman" w:cs="Arial Unicode MS"/>
          <w:b/>
          <w:kern w:val="3"/>
          <w:sz w:val="24"/>
          <w:szCs w:val="24"/>
          <w:u w:val="single"/>
        </w:rPr>
      </w:pPr>
      <w:bookmarkStart w:id="8" w:name="_Hlk536619485"/>
      <w:r w:rsidRPr="00685CF9">
        <w:rPr>
          <w:rFonts w:ascii="Times New Roman" w:eastAsia="Arial Unicode MS" w:hAnsi="Times New Roman" w:cs="Arial Unicode MS"/>
          <w:b/>
          <w:kern w:val="3"/>
          <w:sz w:val="24"/>
          <w:szCs w:val="24"/>
          <w:u w:val="single"/>
        </w:rPr>
        <w:t>Cla</w:t>
      </w:r>
      <w:r w:rsidR="009655B1" w:rsidRPr="00685CF9">
        <w:rPr>
          <w:rFonts w:ascii="Times New Roman" w:eastAsia="Arial Unicode MS" w:hAnsi="Times New Roman" w:cs="Arial Unicode MS"/>
          <w:b/>
          <w:kern w:val="3"/>
          <w:sz w:val="24"/>
          <w:szCs w:val="24"/>
          <w:u w:val="single"/>
        </w:rPr>
        <w:t>ssifying Common Stock</w:t>
      </w:r>
    </w:p>
    <w:bookmarkEnd w:id="8"/>
    <w:p w14:paraId="032A1BF5" w14:textId="77777777" w:rsidR="004F15D3" w:rsidRDefault="004F15D3" w:rsidP="004F15D3">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Stocks are classified based on investment characteristics as follows:</w:t>
      </w:r>
    </w:p>
    <w:p w14:paraId="017F25ED" w14:textId="77777777" w:rsidR="004F15D3" w:rsidRPr="008B1150" w:rsidRDefault="004F15D3" w:rsidP="004F15D3">
      <w:pPr>
        <w:pStyle w:val="ListParagraph"/>
        <w:numPr>
          <w:ilvl w:val="0"/>
          <w:numId w:val="7"/>
        </w:numPr>
        <w:jc w:val="both"/>
        <w:rPr>
          <w:rFonts w:ascii="Times New Roman" w:eastAsia="Arial Unicode MS" w:hAnsi="Times New Roman" w:cs="Arial Unicode MS"/>
          <w:b/>
          <w:kern w:val="3"/>
          <w:sz w:val="24"/>
          <w:szCs w:val="24"/>
        </w:rPr>
      </w:pPr>
      <w:r w:rsidRPr="009F3E5D">
        <w:rPr>
          <w:rFonts w:ascii="Times New Roman" w:eastAsia="Arial Unicode MS" w:hAnsi="Times New Roman" w:cs="Arial Unicode MS"/>
          <w:b/>
          <w:kern w:val="3"/>
          <w:sz w:val="24"/>
          <w:szCs w:val="24"/>
        </w:rPr>
        <w:t>Income Stocks:</w:t>
      </w:r>
      <w:r>
        <w:rPr>
          <w:rFonts w:ascii="Times New Roman" w:eastAsia="Arial Unicode MS" w:hAnsi="Times New Roman" w:cs="Arial Unicode MS"/>
          <w:b/>
          <w:kern w:val="3"/>
          <w:sz w:val="24"/>
          <w:szCs w:val="24"/>
        </w:rPr>
        <w:t xml:space="preserve"> </w:t>
      </w:r>
      <w:r>
        <w:rPr>
          <w:rFonts w:ascii="Times New Roman" w:eastAsia="Arial Unicode MS" w:hAnsi="Times New Roman" w:cs="Arial Unicode MS"/>
          <w:kern w:val="3"/>
          <w:sz w:val="24"/>
          <w:szCs w:val="24"/>
        </w:rPr>
        <w:t xml:space="preserve">These are stocks of companies that consistently pay dividends. When an investor purchases income stock he or she expects to receive dividends. Most of the return for such an investment is based on consistent dividends. Companies that are classified as </w:t>
      </w:r>
      <w:r>
        <w:rPr>
          <w:rFonts w:ascii="Times New Roman" w:eastAsia="Arial Unicode MS" w:hAnsi="Times New Roman" w:cs="Arial Unicode MS"/>
          <w:kern w:val="3"/>
          <w:sz w:val="24"/>
          <w:szCs w:val="24"/>
        </w:rPr>
        <w:lastRenderedPageBreak/>
        <w:t>having income stock are more mature companies with limited research and development and stable cash flows. There are two methods of calculating the dividend payout ratio:</w:t>
      </w:r>
    </w:p>
    <w:p w14:paraId="1D916518" w14:textId="6DE01E63" w:rsidR="008B1150" w:rsidRDefault="008B1150" w:rsidP="008B1150">
      <w:pPr>
        <w:pStyle w:val="ListParagraph"/>
        <w:jc w:val="both"/>
        <w:rPr>
          <w:rFonts w:ascii="Times New Roman" w:eastAsia="Arial Unicode MS" w:hAnsi="Times New Roman" w:cs="Arial Unicode MS"/>
          <w:b/>
          <w:kern w:val="3"/>
          <w:sz w:val="24"/>
          <w:szCs w:val="24"/>
        </w:rPr>
      </w:pPr>
    </w:p>
    <w:p w14:paraId="49FA9F8B" w14:textId="23697EC5" w:rsidR="008B1150" w:rsidRPr="00296CF5" w:rsidRDefault="002902F8" w:rsidP="00296CF5">
      <w:pPr>
        <w:pStyle w:val="ListParagraph"/>
        <w:jc w:val="both"/>
        <w:rPr>
          <w:rFonts w:ascii="Times New Roman" w:eastAsia="Arial Unicode MS" w:hAnsi="Times New Roman" w:cs="Arial Unicode MS"/>
          <w:kern w:val="3"/>
          <w:sz w:val="24"/>
          <w:szCs w:val="24"/>
        </w:rPr>
      </w:pPr>
      <m:oMathPara>
        <m:oMath>
          <m:r>
            <w:rPr>
              <w:rFonts w:ascii="Cambria Math" w:eastAsia="Arial Unicode MS" w:hAnsi="Cambria Math" w:cs="Arial Unicode MS"/>
              <w:kern w:val="3"/>
              <w:sz w:val="24"/>
              <w:szCs w:val="24"/>
            </w:rPr>
            <m:t xml:space="preserve">Dividend Payout Ratio = </m:t>
          </m:r>
          <m:f>
            <m:fPr>
              <m:ctrlPr>
                <w:rPr>
                  <w:rFonts w:ascii="Cambria Math" w:eastAsia="Arial Unicode MS" w:hAnsi="Cambria Math" w:cs="Arial Unicode MS"/>
                  <w:i/>
                  <w:kern w:val="3"/>
                  <w:sz w:val="24"/>
                  <w:szCs w:val="24"/>
                </w:rPr>
              </m:ctrlPr>
            </m:fPr>
            <m:num>
              <m:r>
                <w:rPr>
                  <w:rFonts w:ascii="Cambria Math" w:eastAsia="Arial Unicode MS" w:hAnsi="Cambria Math" w:cs="Arial Unicode MS"/>
                  <w:kern w:val="3"/>
                  <w:sz w:val="24"/>
                  <w:szCs w:val="24"/>
                </w:rPr>
                <m:t>Annual Dividend</m:t>
              </m:r>
            </m:num>
            <m:den>
              <m:r>
                <w:rPr>
                  <w:rFonts w:ascii="Cambria Math" w:eastAsia="Arial Unicode MS" w:hAnsi="Cambria Math" w:cs="Arial Unicode MS"/>
                  <w:kern w:val="3"/>
                  <w:sz w:val="24"/>
                  <w:szCs w:val="24"/>
                </w:rPr>
                <m:t>Net Income</m:t>
              </m:r>
            </m:den>
          </m:f>
        </m:oMath>
      </m:oMathPara>
    </w:p>
    <w:p w14:paraId="36A3E746" w14:textId="48EC3CE0" w:rsidR="008B1150" w:rsidRDefault="008B1150" w:rsidP="008B1150">
      <w:pPr>
        <w:pStyle w:val="ListParagraph"/>
        <w:jc w:val="both"/>
        <w:rPr>
          <w:rFonts w:ascii="Times New Roman" w:eastAsia="Arial Unicode MS" w:hAnsi="Times New Roman" w:cs="Arial Unicode MS"/>
          <w:b/>
          <w:kern w:val="3"/>
          <w:sz w:val="24"/>
          <w:szCs w:val="24"/>
        </w:rPr>
      </w:pPr>
    </w:p>
    <w:p w14:paraId="74FC65C2" w14:textId="6043D7D9" w:rsidR="00296CF5" w:rsidRDefault="00296CF5" w:rsidP="008B1150">
      <w:pPr>
        <w:pStyle w:val="ListParagraph"/>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and</w:t>
      </w:r>
      <w:r w:rsidR="00F57162">
        <w:rPr>
          <w:rFonts w:ascii="Times New Roman" w:eastAsia="Arial Unicode MS" w:hAnsi="Times New Roman" w:cs="Arial Unicode MS"/>
          <w:kern w:val="3"/>
          <w:sz w:val="24"/>
          <w:szCs w:val="24"/>
        </w:rPr>
        <w:t xml:space="preserve"> per share,</w:t>
      </w:r>
    </w:p>
    <w:p w14:paraId="337D72CE" w14:textId="213101F7" w:rsidR="00F57162" w:rsidRPr="00296CF5" w:rsidRDefault="00F57162" w:rsidP="00F57162">
      <w:pPr>
        <w:pStyle w:val="ListParagraph"/>
        <w:jc w:val="both"/>
        <w:rPr>
          <w:rFonts w:ascii="Times New Roman" w:eastAsia="Arial Unicode MS" w:hAnsi="Times New Roman" w:cs="Arial Unicode MS"/>
          <w:kern w:val="3"/>
          <w:sz w:val="24"/>
          <w:szCs w:val="24"/>
        </w:rPr>
      </w:pPr>
      <m:oMathPara>
        <m:oMath>
          <m:r>
            <w:rPr>
              <w:rFonts w:ascii="Cambria Math" w:eastAsia="Arial Unicode MS" w:hAnsi="Cambria Math" w:cs="Arial Unicode MS"/>
              <w:kern w:val="3"/>
              <w:sz w:val="24"/>
              <w:szCs w:val="24"/>
            </w:rPr>
            <m:t xml:space="preserve">Dividend Payout Ratio = </m:t>
          </m:r>
          <m:f>
            <m:fPr>
              <m:ctrlPr>
                <w:rPr>
                  <w:rFonts w:ascii="Cambria Math" w:eastAsia="Arial Unicode MS" w:hAnsi="Cambria Math" w:cs="Arial Unicode MS"/>
                  <w:i/>
                  <w:kern w:val="3"/>
                  <w:sz w:val="24"/>
                  <w:szCs w:val="24"/>
                </w:rPr>
              </m:ctrlPr>
            </m:fPr>
            <m:num>
              <m:r>
                <w:rPr>
                  <w:rFonts w:ascii="Cambria Math" w:eastAsia="Arial Unicode MS" w:hAnsi="Cambria Math" w:cs="Arial Unicode MS"/>
                  <w:kern w:val="3"/>
                  <w:sz w:val="24"/>
                  <w:szCs w:val="24"/>
                </w:rPr>
                <m:t>Annual Dividend per share</m:t>
              </m:r>
            </m:num>
            <m:den>
              <m:r>
                <w:rPr>
                  <w:rFonts w:ascii="Cambria Math" w:eastAsia="Arial Unicode MS" w:hAnsi="Cambria Math" w:cs="Arial Unicode MS"/>
                  <w:kern w:val="3"/>
                  <w:sz w:val="24"/>
                  <w:szCs w:val="24"/>
                </w:rPr>
                <m:t>Earnings per share (EPS)</m:t>
              </m:r>
            </m:den>
          </m:f>
        </m:oMath>
      </m:oMathPara>
    </w:p>
    <w:p w14:paraId="4F42FE90" w14:textId="7F5CFEA4" w:rsidR="00296CF5" w:rsidRDefault="00296CF5" w:rsidP="008B1150">
      <w:pPr>
        <w:pStyle w:val="ListParagraph"/>
        <w:jc w:val="both"/>
        <w:rPr>
          <w:rFonts w:ascii="Times New Roman" w:eastAsia="Arial Unicode MS" w:hAnsi="Times New Roman" w:cs="Arial Unicode MS"/>
          <w:b/>
          <w:kern w:val="3"/>
          <w:sz w:val="24"/>
          <w:szCs w:val="24"/>
        </w:rPr>
      </w:pPr>
    </w:p>
    <w:p w14:paraId="43F8E059" w14:textId="3CA2B82D" w:rsidR="008B1150" w:rsidRDefault="000F0F91" w:rsidP="008B1150">
      <w:pPr>
        <w:pStyle w:val="ListParagraph"/>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The dividend yield (</w:t>
      </w:r>
      <w:r>
        <w:rPr>
          <w:rFonts w:ascii="Times New Roman" w:eastAsia="Arial Unicode MS" w:hAnsi="Times New Roman" w:cs="Times New Roman"/>
          <w:kern w:val="3"/>
          <w:sz w:val="24"/>
          <w:szCs w:val="24"/>
        </w:rPr>
        <w:t>δ</w:t>
      </w:r>
      <w:r>
        <w:rPr>
          <w:rFonts w:ascii="Times New Roman" w:eastAsia="Arial Unicode MS" w:hAnsi="Times New Roman" w:cs="Arial Unicode MS"/>
          <w:kern w:val="3"/>
          <w:sz w:val="24"/>
          <w:szCs w:val="24"/>
        </w:rPr>
        <w:t>) % per share is calculated as follows:</w:t>
      </w:r>
    </w:p>
    <w:p w14:paraId="5490012E" w14:textId="338A1AE0" w:rsidR="000F0F91" w:rsidRDefault="000F0F91" w:rsidP="008B1150">
      <w:pPr>
        <w:pStyle w:val="ListParagraph"/>
        <w:jc w:val="both"/>
        <w:rPr>
          <w:rFonts w:ascii="Times New Roman" w:eastAsia="Arial Unicode MS" w:hAnsi="Times New Roman" w:cs="Arial Unicode MS"/>
          <w:kern w:val="3"/>
          <w:sz w:val="24"/>
          <w:szCs w:val="24"/>
        </w:rPr>
      </w:pPr>
    </w:p>
    <w:p w14:paraId="6833F475" w14:textId="77777777" w:rsidR="000F0F91" w:rsidRDefault="000F0F91" w:rsidP="000F0F91">
      <w:pPr>
        <w:pStyle w:val="ListParagraph"/>
        <w:jc w:val="both"/>
        <w:rPr>
          <w:rFonts w:ascii="Times New Roman" w:eastAsia="Arial Unicode MS" w:hAnsi="Times New Roman" w:cs="Arial Unicode MS"/>
          <w:b/>
          <w:kern w:val="3"/>
          <w:sz w:val="24"/>
          <w:szCs w:val="24"/>
        </w:rPr>
      </w:pPr>
    </w:p>
    <w:p w14:paraId="2C361508" w14:textId="33698068" w:rsidR="000F0F91" w:rsidRPr="00296CF5" w:rsidRDefault="000F0F91" w:rsidP="000F0F91">
      <w:pPr>
        <w:pStyle w:val="ListParagraph"/>
        <w:jc w:val="both"/>
        <w:rPr>
          <w:rFonts w:ascii="Times New Roman" w:eastAsia="Arial Unicode MS" w:hAnsi="Times New Roman" w:cs="Arial Unicode MS"/>
          <w:kern w:val="3"/>
          <w:sz w:val="24"/>
          <w:szCs w:val="24"/>
        </w:rPr>
      </w:pPr>
      <m:oMathPara>
        <m:oMath>
          <m:r>
            <w:rPr>
              <w:rFonts w:ascii="Cambria Math" w:eastAsia="Arial Unicode MS" w:hAnsi="Cambria Math" w:cs="Arial Unicode MS"/>
              <w:kern w:val="3"/>
              <w:sz w:val="24"/>
              <w:szCs w:val="24"/>
            </w:rPr>
            <m:t xml:space="preserve">Dividend Yield </m:t>
          </m:r>
          <m:d>
            <m:dPr>
              <m:ctrlPr>
                <w:rPr>
                  <w:rFonts w:ascii="Cambria Math" w:eastAsia="Arial Unicode MS" w:hAnsi="Cambria Math" w:cs="Arial Unicode MS"/>
                  <w:i/>
                  <w:kern w:val="3"/>
                  <w:sz w:val="24"/>
                  <w:szCs w:val="24"/>
                </w:rPr>
              </m:ctrlPr>
            </m:dPr>
            <m:e>
              <m:r>
                <w:rPr>
                  <w:rFonts w:ascii="Cambria Math" w:eastAsia="Arial Unicode MS" w:hAnsi="Cambria Math" w:cs="Arial Unicode MS"/>
                  <w:kern w:val="3"/>
                  <w:sz w:val="24"/>
                  <w:szCs w:val="24"/>
                </w:rPr>
                <m:t>δ</m:t>
              </m:r>
            </m:e>
          </m:d>
          <m:r>
            <w:rPr>
              <w:rFonts w:ascii="Cambria Math" w:eastAsia="Arial Unicode MS" w:hAnsi="Cambria Math" w:cs="Arial Unicode MS"/>
              <w:kern w:val="3"/>
              <w:sz w:val="24"/>
              <w:szCs w:val="24"/>
            </w:rPr>
            <m:t xml:space="preserve">% = </m:t>
          </m:r>
          <m:f>
            <m:fPr>
              <m:ctrlPr>
                <w:rPr>
                  <w:rFonts w:ascii="Cambria Math" w:eastAsia="Arial Unicode MS" w:hAnsi="Cambria Math" w:cs="Arial Unicode MS"/>
                  <w:i/>
                  <w:kern w:val="3"/>
                  <w:sz w:val="24"/>
                  <w:szCs w:val="24"/>
                </w:rPr>
              </m:ctrlPr>
            </m:fPr>
            <m:num>
              <m:r>
                <w:rPr>
                  <w:rFonts w:ascii="Cambria Math" w:eastAsia="Arial Unicode MS" w:hAnsi="Cambria Math" w:cs="Arial Unicode MS"/>
                  <w:kern w:val="3"/>
                  <w:sz w:val="24"/>
                  <w:szCs w:val="24"/>
                </w:rPr>
                <m:t>Annual Dividend per share</m:t>
              </m:r>
            </m:num>
            <m:den>
              <m:r>
                <w:rPr>
                  <w:rFonts w:ascii="Cambria Math" w:eastAsia="Arial Unicode MS" w:hAnsi="Cambria Math" w:cs="Arial Unicode MS"/>
                  <w:kern w:val="3"/>
                  <w:sz w:val="24"/>
                  <w:szCs w:val="24"/>
                </w:rPr>
                <m:t>Stock Price</m:t>
              </m:r>
            </m:den>
          </m:f>
        </m:oMath>
      </m:oMathPara>
    </w:p>
    <w:p w14:paraId="31D1964B" w14:textId="77777777" w:rsidR="000F0F91" w:rsidRDefault="000F0F91" w:rsidP="000F0F91">
      <w:pPr>
        <w:pStyle w:val="ListParagraph"/>
        <w:jc w:val="both"/>
        <w:rPr>
          <w:rFonts w:ascii="Times New Roman" w:eastAsia="Arial Unicode MS" w:hAnsi="Times New Roman" w:cs="Arial Unicode MS"/>
          <w:b/>
          <w:kern w:val="3"/>
          <w:sz w:val="24"/>
          <w:szCs w:val="24"/>
        </w:rPr>
      </w:pPr>
    </w:p>
    <w:p w14:paraId="7BB0A887" w14:textId="77777777" w:rsidR="000F0F91" w:rsidRPr="000F0F91" w:rsidRDefault="000F0F91" w:rsidP="008B1150">
      <w:pPr>
        <w:pStyle w:val="ListParagraph"/>
        <w:jc w:val="both"/>
        <w:rPr>
          <w:rFonts w:ascii="Times New Roman" w:eastAsia="Arial Unicode MS" w:hAnsi="Times New Roman" w:cs="Arial Unicode MS"/>
          <w:kern w:val="3"/>
          <w:sz w:val="24"/>
          <w:szCs w:val="24"/>
        </w:rPr>
      </w:pPr>
    </w:p>
    <w:p w14:paraId="0028B193" w14:textId="544D160D" w:rsidR="008C7E91" w:rsidRDefault="00A02768" w:rsidP="003E7054">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rPr>
        <w:t xml:space="preserve">Growth Stocks: </w:t>
      </w:r>
      <w:r>
        <w:rPr>
          <w:rFonts w:ascii="Times New Roman" w:eastAsia="Arial Unicode MS" w:hAnsi="Times New Roman" w:cs="Arial Unicode MS"/>
          <w:kern w:val="3"/>
          <w:sz w:val="24"/>
          <w:szCs w:val="24"/>
        </w:rPr>
        <w:t xml:space="preserve">These are stocks of companies that reinvest most of their income into their business. Investors buying these stocks expect a higher capital gain from growth in share price due to expanding earnings/revenue multiples. These stocks also commonly trade at higher multiples or price to earnings ratios (P/E). Since the expectation is for the company to grow, the stock is very sensitive if the expected growth (mainly quarterly/yearly earnings targets) is not met. </w:t>
      </w:r>
      <w:r w:rsidRPr="00851C4D">
        <w:rPr>
          <w:rFonts w:ascii="Times New Roman" w:eastAsia="Arial Unicode MS" w:hAnsi="Times New Roman" w:cs="Arial Unicode MS"/>
          <w:kern w:val="3"/>
          <w:sz w:val="24"/>
          <w:szCs w:val="24"/>
        </w:rPr>
        <w:t>This generally causes the stock to drop even if the profit grows incrementally year over year</w:t>
      </w:r>
      <w:r>
        <w:rPr>
          <w:rFonts w:ascii="Times New Roman" w:eastAsia="Arial Unicode MS" w:hAnsi="Times New Roman" w:cs="Arial Unicode MS"/>
          <w:kern w:val="3"/>
          <w:sz w:val="24"/>
          <w:szCs w:val="24"/>
        </w:rPr>
        <w:t xml:space="preserve">. Expectations and the potential to meet earnings and revenue targets are key when valuing growth stocks and their potential for capital gain. For tax purposes, note that investors </w:t>
      </w:r>
      <w:proofErr w:type="gramStart"/>
      <w:r>
        <w:rPr>
          <w:rFonts w:ascii="Times New Roman" w:eastAsia="Arial Unicode MS" w:hAnsi="Times New Roman" w:cs="Arial Unicode MS"/>
          <w:kern w:val="3"/>
          <w:sz w:val="24"/>
          <w:szCs w:val="24"/>
        </w:rPr>
        <w:t>pays</w:t>
      </w:r>
      <w:proofErr w:type="gramEnd"/>
      <w:r>
        <w:rPr>
          <w:rFonts w:ascii="Times New Roman" w:eastAsia="Arial Unicode MS" w:hAnsi="Times New Roman" w:cs="Arial Unicode MS"/>
          <w:kern w:val="3"/>
          <w:sz w:val="24"/>
          <w:szCs w:val="24"/>
        </w:rPr>
        <w:t xml:space="preserve"> less taxes on realized capital gain than on dividend income.</w:t>
      </w:r>
    </w:p>
    <w:p w14:paraId="2C53D919" w14:textId="77777777" w:rsidR="00A02768" w:rsidRDefault="00A02768" w:rsidP="003E7054">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p>
    <w:p w14:paraId="73B33D24" w14:textId="77777777" w:rsidR="00AC3150" w:rsidRDefault="00AC3150" w:rsidP="00AC3150">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Stock Prices and Investment Opportunities: Growth Stock Vs Dividend Stock</w:t>
      </w:r>
    </w:p>
    <w:p w14:paraId="3E3D903B" w14:textId="11769F47" w:rsidR="00AC3150" w:rsidRDefault="00AC3150" w:rsidP="00AC315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Pr>
          <w:rFonts w:ascii="Times New Roman" w:eastAsia="Arial Unicode MS" w:hAnsi="Times New Roman" w:cs="Arial Unicode MS"/>
          <w:kern w:val="3"/>
          <w:sz w:val="24"/>
          <w:szCs w:val="24"/>
        </w:rPr>
        <w:t xml:space="preserve">Let’s assume that two companies, Cash-Is-King, Inc. (“CIK”) and Growth-Is-The-Only-Way, Inc (“GITOW”), each have an expected net income of $10 per share. In principal, both companies could pay out all the income they’ve made to the current shareholders as dividends. If the Capitalization Rate </w:t>
      </w:r>
      <w:bookmarkStart w:id="9" w:name="_Hlk287811"/>
      <w:r>
        <w:rPr>
          <w:rFonts w:ascii="Times New Roman" w:eastAsia="Arial Unicode MS" w:hAnsi="Times New Roman" w:cs="Arial Unicode MS"/>
          <w:kern w:val="3"/>
          <w:sz w:val="24"/>
          <w:szCs w:val="24"/>
        </w:rPr>
        <w:t>(</w:t>
      </w:r>
      <w:r>
        <w:rPr>
          <w:rFonts w:ascii="Times New Roman" w:eastAsia="Arial Unicode MS" w:hAnsi="Times New Roman" w:cs="Times New Roman"/>
          <w:kern w:val="3"/>
          <w:sz w:val="24"/>
          <w:szCs w:val="24"/>
        </w:rPr>
        <w:t>κ</w:t>
      </w:r>
      <w:r>
        <w:rPr>
          <w:rFonts w:ascii="Times New Roman" w:eastAsia="Arial Unicode MS" w:hAnsi="Times New Roman" w:cs="Arial Unicode MS"/>
          <w:kern w:val="3"/>
          <w:sz w:val="24"/>
          <w:szCs w:val="24"/>
        </w:rPr>
        <w:t>)</w:t>
      </w:r>
      <w:bookmarkEnd w:id="9"/>
      <w:r>
        <w:rPr>
          <w:rFonts w:ascii="Times New Roman" w:eastAsia="Arial Unicode MS" w:hAnsi="Times New Roman" w:cs="Arial Unicode MS"/>
          <w:kern w:val="3"/>
          <w:sz w:val="24"/>
          <w:szCs w:val="24"/>
        </w:rPr>
        <w:t xml:space="preserve"> is 10% (a valuation method discussed in later chapters), both companies would then be valued at </w:t>
      </w:r>
      <w:bookmarkStart w:id="10" w:name="_Hlk287865"/>
      <w:bookmarkStart w:id="11" w:name="_Hlk289023"/>
      <w:r>
        <w:rPr>
          <w:rFonts w:ascii="Times New Roman" w:eastAsia="Arial Unicode MS" w:hAnsi="Times New Roman" w:cs="Arial Unicode MS"/>
          <w:kern w:val="3"/>
          <w:sz w:val="24"/>
          <w:szCs w:val="24"/>
        </w:rPr>
        <w:t>D</w:t>
      </w:r>
      <w:r w:rsidRPr="004E2831">
        <w:rPr>
          <w:rFonts w:ascii="Times New Roman" w:eastAsia="Arial Unicode MS" w:hAnsi="Times New Roman" w:cs="Arial Unicode MS"/>
          <w:kern w:val="3"/>
          <w:sz w:val="24"/>
          <w:szCs w:val="24"/>
          <w:vertAlign w:val="subscript"/>
        </w:rPr>
        <w:t>1</w:t>
      </w:r>
      <w:r>
        <w:rPr>
          <w:rFonts w:ascii="Times New Roman" w:eastAsia="Arial Unicode MS" w:hAnsi="Times New Roman" w:cs="Arial Unicode MS"/>
          <w:kern w:val="3"/>
          <w:sz w:val="24"/>
          <w:szCs w:val="24"/>
        </w:rPr>
        <w:t>/</w:t>
      </w:r>
      <w:r>
        <w:rPr>
          <w:rFonts w:ascii="Times New Roman" w:eastAsia="Arial Unicode MS" w:hAnsi="Times New Roman" w:cs="Times New Roman"/>
          <w:kern w:val="3"/>
          <w:sz w:val="24"/>
          <w:szCs w:val="24"/>
        </w:rPr>
        <w:t xml:space="preserve">κ </w:t>
      </w:r>
      <w:bookmarkEnd w:id="10"/>
      <w:r>
        <w:rPr>
          <w:rFonts w:ascii="Times New Roman" w:eastAsia="Arial Unicode MS" w:hAnsi="Times New Roman" w:cs="Times New Roman"/>
          <w:kern w:val="3"/>
          <w:sz w:val="24"/>
          <w:szCs w:val="24"/>
        </w:rPr>
        <w:t>= $10/10% = $100 per share</w:t>
      </w:r>
      <w:bookmarkEnd w:id="11"/>
      <w:r>
        <w:rPr>
          <w:rFonts w:ascii="Times New Roman" w:eastAsia="Arial Unicode MS" w:hAnsi="Times New Roman" w:cs="Times New Roman"/>
          <w:kern w:val="3"/>
          <w:sz w:val="24"/>
          <w:szCs w:val="24"/>
        </w:rPr>
        <w:t xml:space="preserve">. If all the profit was distributed to the shareholders instead of reinvested in the company, the company is not anticipated to grow. </w:t>
      </w:r>
    </w:p>
    <w:p w14:paraId="0EC9309A" w14:textId="77777777" w:rsidR="00AC3150" w:rsidRDefault="00AC3150" w:rsidP="00AC315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p>
    <w:p w14:paraId="715D15F3" w14:textId="77777777" w:rsidR="000B236A" w:rsidRDefault="000B236A" w:rsidP="000B236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Now suppose rather than paying it out as dividends, </w:t>
      </w:r>
      <w:r>
        <w:rPr>
          <w:rFonts w:ascii="Times New Roman" w:eastAsia="Arial Unicode MS" w:hAnsi="Times New Roman" w:cs="Arial Unicode MS"/>
          <w:kern w:val="3"/>
          <w:sz w:val="24"/>
          <w:szCs w:val="24"/>
        </w:rPr>
        <w:t>GITOW</w:t>
      </w:r>
      <w:r>
        <w:rPr>
          <w:rFonts w:ascii="Times New Roman" w:eastAsia="Arial Unicode MS" w:hAnsi="Times New Roman" w:cs="Times New Roman"/>
          <w:kern w:val="3"/>
          <w:sz w:val="24"/>
          <w:szCs w:val="24"/>
        </w:rPr>
        <w:t xml:space="preserve"> reinvests the profit into a project that generates 15% return on investment. You will notice this is greater than the capitalization rate (κ) of 10%. If that is the case, it would then not make sense to pay all the profit to the shareholders in the form of dividends. Given the good prospects of the project that should return 15%, </w:t>
      </w:r>
      <w:r w:rsidRPr="00143C6E">
        <w:rPr>
          <w:rFonts w:ascii="Times New Roman" w:eastAsia="Arial Unicode MS" w:hAnsi="Times New Roman" w:cs="Times New Roman"/>
          <w:kern w:val="3"/>
          <w:sz w:val="24"/>
          <w:szCs w:val="24"/>
        </w:rPr>
        <w:t xml:space="preserve">GITOW </w:t>
      </w:r>
      <w:r>
        <w:rPr>
          <w:rFonts w:ascii="Times New Roman" w:eastAsia="Arial Unicode MS" w:hAnsi="Times New Roman" w:cs="Times New Roman"/>
          <w:kern w:val="3"/>
          <w:sz w:val="24"/>
          <w:szCs w:val="24"/>
        </w:rPr>
        <w:t xml:space="preserve">decides to pay a much lower dividend in order to reinvest the other portion of the prior year’s profit into the project - let’s assume they pay out 50% of the profit instead of 100% of the profit - this is called the </w:t>
      </w:r>
      <w:r w:rsidRPr="00250E35">
        <w:rPr>
          <w:rFonts w:ascii="Times New Roman" w:eastAsia="Arial Unicode MS" w:hAnsi="Times New Roman" w:cs="Times New Roman"/>
          <w:b/>
          <w:kern w:val="3"/>
          <w:sz w:val="24"/>
          <w:szCs w:val="24"/>
        </w:rPr>
        <w:t>Payout Ratio</w:t>
      </w:r>
      <w:r>
        <w:rPr>
          <w:rFonts w:ascii="Times New Roman" w:eastAsia="Arial Unicode MS" w:hAnsi="Times New Roman" w:cs="Times New Roman"/>
          <w:kern w:val="3"/>
          <w:sz w:val="24"/>
          <w:szCs w:val="24"/>
        </w:rPr>
        <w:t xml:space="preserve">. The maintaining of the other 50% is called the </w:t>
      </w:r>
      <w:r w:rsidRPr="00E76547">
        <w:rPr>
          <w:rFonts w:ascii="Times New Roman" w:eastAsia="Arial Unicode MS" w:hAnsi="Times New Roman" w:cs="Times New Roman"/>
          <w:b/>
          <w:kern w:val="3"/>
          <w:sz w:val="24"/>
          <w:szCs w:val="24"/>
        </w:rPr>
        <w:t>Plowback Ratio</w:t>
      </w:r>
      <w:r>
        <w:rPr>
          <w:rFonts w:ascii="Times New Roman" w:eastAsia="Arial Unicode MS" w:hAnsi="Times New Roman" w:cs="Times New Roman"/>
          <w:b/>
          <w:kern w:val="3"/>
          <w:sz w:val="24"/>
          <w:szCs w:val="24"/>
        </w:rPr>
        <w:t>.</w:t>
      </w:r>
      <w:r>
        <w:rPr>
          <w:rFonts w:ascii="Times New Roman" w:eastAsia="Arial Unicode MS" w:hAnsi="Times New Roman" w:cs="Times New Roman"/>
          <w:kern w:val="3"/>
          <w:sz w:val="24"/>
          <w:szCs w:val="24"/>
        </w:rPr>
        <w:t xml:space="preserve"> In this case, </w:t>
      </w:r>
      <w:bookmarkStart w:id="12" w:name="_Hlk289345"/>
      <w:r>
        <w:rPr>
          <w:rFonts w:ascii="Times New Roman" w:eastAsia="Arial Unicode MS" w:hAnsi="Times New Roman" w:cs="Arial Unicode MS"/>
          <w:kern w:val="3"/>
          <w:sz w:val="24"/>
          <w:szCs w:val="24"/>
        </w:rPr>
        <w:t>GITOW</w:t>
      </w:r>
      <w:r>
        <w:rPr>
          <w:rFonts w:ascii="Times New Roman" w:eastAsia="Arial Unicode MS" w:hAnsi="Times New Roman" w:cs="Times New Roman"/>
          <w:kern w:val="3"/>
          <w:sz w:val="24"/>
          <w:szCs w:val="24"/>
        </w:rPr>
        <w:t xml:space="preserve"> will only pay $5 in dividends ($5/$10=50%) and reinvest the difference of $5 per share into the project that is expected to generate 15% return</w:t>
      </w:r>
      <w:bookmarkEnd w:id="12"/>
      <w:r>
        <w:rPr>
          <w:rFonts w:ascii="Times New Roman" w:eastAsia="Arial Unicode MS" w:hAnsi="Times New Roman" w:cs="Times New Roman"/>
          <w:kern w:val="3"/>
          <w:sz w:val="24"/>
          <w:szCs w:val="24"/>
        </w:rPr>
        <w:t xml:space="preserve">. </w:t>
      </w:r>
    </w:p>
    <w:p w14:paraId="1B200736" w14:textId="77777777" w:rsidR="000B236A" w:rsidRDefault="000B236A" w:rsidP="000B236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p>
    <w:p w14:paraId="5153BF5E" w14:textId="24253AFB" w:rsidR="0094271F" w:rsidRDefault="0094271F" w:rsidP="0094271F">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 xml:space="preserve">Suppose </w:t>
      </w:r>
      <w:r>
        <w:rPr>
          <w:rFonts w:ascii="Times New Roman" w:eastAsia="Arial Unicode MS" w:hAnsi="Times New Roman" w:cs="Arial Unicode MS"/>
          <w:kern w:val="3"/>
          <w:sz w:val="24"/>
          <w:szCs w:val="24"/>
        </w:rPr>
        <w:t>GITOW</w:t>
      </w:r>
      <w:r>
        <w:rPr>
          <w:rFonts w:ascii="Times New Roman" w:eastAsia="Arial Unicode MS" w:hAnsi="Times New Roman" w:cs="Times New Roman"/>
          <w:kern w:val="3"/>
          <w:sz w:val="24"/>
          <w:szCs w:val="24"/>
        </w:rPr>
        <w:t xml:space="preserve">’s project costs $100 million and is entirely equity financed. Thus, with an expected return on investment of 15%, it will generate $15 million of income (15% x $100 million). Let’s assume there are 3 million shares outstanding at $5.00 per share ($15 million / 3 million shares) which would be </w:t>
      </w:r>
      <w:proofErr w:type="gramStart"/>
      <w:r>
        <w:rPr>
          <w:rFonts w:ascii="Times New Roman" w:eastAsia="Arial Unicode MS" w:hAnsi="Times New Roman" w:cs="Times New Roman"/>
          <w:kern w:val="3"/>
          <w:sz w:val="24"/>
          <w:szCs w:val="24"/>
        </w:rPr>
        <w:t>all of</w:t>
      </w:r>
      <w:proofErr w:type="gramEnd"/>
      <w:r>
        <w:rPr>
          <w:rFonts w:ascii="Times New Roman" w:eastAsia="Arial Unicode MS" w:hAnsi="Times New Roman" w:cs="Times New Roman"/>
          <w:kern w:val="3"/>
          <w:sz w:val="24"/>
          <w:szCs w:val="24"/>
        </w:rPr>
        <w:t xml:space="preserve"> the equity capital invested in the business (there is no debt).  If 50% of the project’s $15 million profit is reinvested, then the value of the company’s stock should increase $7.5 million (50% x $15 million) or 7.5% ($7.5 million / $100 million project). With the 7.5% higher invested capital, the company yields 7.5% more income and ultimately will pay a 7.5% higher dividend. This is due to the increase in price being that dividend payouts are expressed as a percentage of each shares current value (dividend yield). The 7.5% represents the company’s growth rate on the underlying profit and thus the value of the stock will go up. Using the intrinsic value method (discussed in chapter 17) we value the new stock as follows:</w:t>
      </w:r>
    </w:p>
    <w:p w14:paraId="19C8CD8F" w14:textId="3FB0814C" w:rsidR="007A4790" w:rsidRDefault="007A4790" w:rsidP="003E7054">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p>
    <w:p w14:paraId="7A4843CC" w14:textId="77777777" w:rsidR="007A4790" w:rsidRDefault="007A4790" w:rsidP="003E7054">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p>
    <w:p w14:paraId="4BB26976" w14:textId="1280FFEB" w:rsidR="007A4790" w:rsidRDefault="0071639D" w:rsidP="003E7054">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bookmarkStart w:id="13" w:name="_Hlk535855911"/>
      <w:r>
        <w:rPr>
          <w:rFonts w:ascii="Times New Roman" w:eastAsia="Arial Unicode MS" w:hAnsi="Times New Roman" w:cs="Times New Roman"/>
          <w:kern w:val="3"/>
          <w:sz w:val="24"/>
          <w:szCs w:val="24"/>
        </w:rPr>
        <w:t xml:space="preserve">Price = </w:t>
      </w:r>
      <m:oMath>
        <m:f>
          <m:fPr>
            <m:ctrlPr>
              <w:rPr>
                <w:rFonts w:ascii="Cambria Math" w:eastAsia="Arial Unicode MS" w:hAnsi="Cambria Math" w:cs="Times New Roman"/>
                <w:i/>
                <w:kern w:val="3"/>
                <w:sz w:val="24"/>
                <w:szCs w:val="24"/>
              </w:rPr>
            </m:ctrlPr>
          </m:fPr>
          <m:num>
            <m:r>
              <m:rPr>
                <m:sty m:val="p"/>
              </m:rPr>
              <w:rPr>
                <w:rFonts w:ascii="Cambria Math" w:eastAsia="Arial Unicode MS" w:hAnsi="Cambria Math" w:cs="Arial Unicode MS"/>
                <w:kern w:val="3"/>
                <w:sz w:val="24"/>
                <w:szCs w:val="24"/>
              </w:rPr>
              <m:t>D</m:t>
            </m:r>
            <m:r>
              <m:rPr>
                <m:sty m:val="p"/>
              </m:rPr>
              <w:rPr>
                <w:rFonts w:ascii="Cambria Math" w:eastAsia="Arial Unicode MS" w:hAnsi="Cambria Math" w:cs="Arial Unicode MS"/>
                <w:kern w:val="3"/>
                <w:sz w:val="24"/>
                <w:szCs w:val="24"/>
                <w:vertAlign w:val="subscript"/>
              </w:rPr>
              <m:t xml:space="preserve"> </m:t>
            </m:r>
            <m:r>
              <w:rPr>
                <w:rFonts w:ascii="Cambria Math" w:eastAsia="Arial Unicode MS" w:hAnsi="Cambria Math" w:cs="Times New Roman"/>
                <w:kern w:val="3"/>
                <w:sz w:val="24"/>
                <w:szCs w:val="24"/>
              </w:rPr>
              <m:t>paid</m:t>
            </m:r>
          </m:num>
          <m:den>
            <m:r>
              <w:rPr>
                <w:rFonts w:ascii="Cambria Math" w:eastAsia="Arial Unicode MS" w:hAnsi="Cambria Math" w:cs="Times New Roman"/>
                <w:kern w:val="3"/>
                <w:sz w:val="24"/>
                <w:szCs w:val="24"/>
              </w:rPr>
              <m:t>κ-g</m:t>
            </m:r>
          </m:den>
        </m:f>
        <m:r>
          <w:rPr>
            <w:rFonts w:ascii="Cambria Math" w:eastAsia="Arial Unicode MS" w:hAnsi="Cambria Math" w:cs="Times New Roman"/>
            <w:kern w:val="3"/>
            <w:sz w:val="24"/>
            <w:szCs w:val="24"/>
          </w:rPr>
          <m:t xml:space="preserve">= </m:t>
        </m:r>
        <m:f>
          <m:fPr>
            <m:ctrlPr>
              <w:rPr>
                <w:rFonts w:ascii="Cambria Math" w:eastAsia="Arial Unicode MS" w:hAnsi="Cambria Math" w:cs="Times New Roman"/>
                <w:i/>
                <w:kern w:val="3"/>
                <w:sz w:val="24"/>
                <w:szCs w:val="24"/>
              </w:rPr>
            </m:ctrlPr>
          </m:fPr>
          <m:num>
            <m:r>
              <w:rPr>
                <w:rFonts w:ascii="Cambria Math" w:eastAsia="Arial Unicode MS" w:hAnsi="Cambria Math" w:cs="Times New Roman"/>
                <w:kern w:val="3"/>
                <w:sz w:val="24"/>
                <w:szCs w:val="24"/>
              </w:rPr>
              <m:t>$5</m:t>
            </m:r>
          </m:num>
          <m:den>
            <m:r>
              <w:rPr>
                <w:rFonts w:ascii="Cambria Math" w:eastAsia="Arial Unicode MS" w:hAnsi="Cambria Math" w:cs="Times New Roman"/>
                <w:kern w:val="3"/>
                <w:sz w:val="24"/>
                <w:szCs w:val="24"/>
              </w:rPr>
              <m:t xml:space="preserve">.10-.075 </m:t>
            </m:r>
          </m:den>
        </m:f>
        <m:r>
          <w:rPr>
            <w:rFonts w:ascii="Cambria Math" w:eastAsia="Arial Unicode MS" w:hAnsi="Cambria Math" w:cs="Times New Roman"/>
            <w:kern w:val="3"/>
            <w:sz w:val="24"/>
            <w:szCs w:val="24"/>
          </w:rPr>
          <m:t>=$200</m:t>
        </m:r>
      </m:oMath>
      <w:r w:rsidR="00ED749B">
        <w:rPr>
          <w:rFonts w:ascii="Times New Roman" w:eastAsia="Arial Unicode MS" w:hAnsi="Times New Roman" w:cs="Times New Roman"/>
          <w:kern w:val="3"/>
          <w:sz w:val="24"/>
          <w:szCs w:val="24"/>
        </w:rPr>
        <w:t xml:space="preserve"> </w:t>
      </w:r>
    </w:p>
    <w:bookmarkEnd w:id="13"/>
    <w:p w14:paraId="7E58C445" w14:textId="77777777" w:rsidR="007A4790" w:rsidRDefault="007A4790" w:rsidP="003E7054">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p>
    <w:p w14:paraId="5984324A" w14:textId="177CD633" w:rsidR="00363830" w:rsidRDefault="005B274A" w:rsidP="0036383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Notice $200 is twice the value of the $100 current value of CIK’s stock with 100% paid dividends and no growth</w:t>
      </w:r>
      <w:r w:rsidR="00363830">
        <w:rPr>
          <w:rFonts w:ascii="Times New Roman" w:eastAsia="Arial Unicode MS" w:hAnsi="Times New Roman" w:cs="Times New Roman"/>
          <w:kern w:val="3"/>
          <w:sz w:val="24"/>
          <w:szCs w:val="24"/>
        </w:rPr>
        <w:t xml:space="preserve"> (Price = </w:t>
      </w:r>
      <m:oMath>
        <m:f>
          <m:fPr>
            <m:ctrlPr>
              <w:rPr>
                <w:rFonts w:ascii="Cambria Math" w:eastAsia="Arial Unicode MS" w:hAnsi="Cambria Math" w:cs="Times New Roman"/>
                <w:i/>
                <w:kern w:val="3"/>
                <w:sz w:val="24"/>
                <w:szCs w:val="24"/>
              </w:rPr>
            </m:ctrlPr>
          </m:fPr>
          <m:num>
            <m:r>
              <m:rPr>
                <m:sty m:val="p"/>
              </m:rPr>
              <w:rPr>
                <w:rFonts w:ascii="Cambria Math" w:eastAsia="Arial Unicode MS" w:hAnsi="Cambria Math" w:cs="Arial Unicode MS"/>
                <w:kern w:val="3"/>
                <w:sz w:val="24"/>
                <w:szCs w:val="24"/>
              </w:rPr>
              <m:t>D</m:t>
            </m:r>
            <m:r>
              <m:rPr>
                <m:sty m:val="p"/>
              </m:rPr>
              <w:rPr>
                <w:rFonts w:ascii="Cambria Math" w:eastAsia="Arial Unicode MS" w:hAnsi="Cambria Math" w:cs="Arial Unicode MS"/>
                <w:kern w:val="3"/>
                <w:sz w:val="24"/>
                <w:szCs w:val="24"/>
                <w:vertAlign w:val="subscript"/>
              </w:rPr>
              <m:t xml:space="preserve"> </m:t>
            </m:r>
            <m:r>
              <w:rPr>
                <w:rFonts w:ascii="Cambria Math" w:eastAsia="Arial Unicode MS" w:hAnsi="Cambria Math" w:cs="Times New Roman"/>
                <w:kern w:val="3"/>
                <w:sz w:val="24"/>
                <w:szCs w:val="24"/>
              </w:rPr>
              <m:t>paid</m:t>
            </m:r>
          </m:num>
          <m:den>
            <m:r>
              <w:rPr>
                <w:rFonts w:ascii="Cambria Math" w:eastAsia="Arial Unicode MS" w:hAnsi="Cambria Math" w:cs="Times New Roman"/>
                <w:kern w:val="3"/>
                <w:sz w:val="24"/>
                <w:szCs w:val="24"/>
              </w:rPr>
              <m:t>κ-g</m:t>
            </m:r>
          </m:den>
        </m:f>
        <m:r>
          <w:rPr>
            <w:rFonts w:ascii="Cambria Math" w:eastAsia="Arial Unicode MS" w:hAnsi="Cambria Math" w:cs="Times New Roman"/>
            <w:kern w:val="3"/>
            <w:sz w:val="24"/>
            <w:szCs w:val="24"/>
          </w:rPr>
          <m:t xml:space="preserve">= </m:t>
        </m:r>
        <m:f>
          <m:fPr>
            <m:ctrlPr>
              <w:rPr>
                <w:rFonts w:ascii="Cambria Math" w:eastAsia="Arial Unicode MS" w:hAnsi="Cambria Math" w:cs="Times New Roman"/>
                <w:i/>
                <w:kern w:val="3"/>
                <w:sz w:val="24"/>
                <w:szCs w:val="24"/>
              </w:rPr>
            </m:ctrlPr>
          </m:fPr>
          <m:num>
            <m:r>
              <w:rPr>
                <w:rFonts w:ascii="Cambria Math" w:eastAsia="Arial Unicode MS" w:hAnsi="Cambria Math" w:cs="Times New Roman"/>
                <w:kern w:val="3"/>
                <w:sz w:val="24"/>
                <w:szCs w:val="24"/>
              </w:rPr>
              <m:t>$10</m:t>
            </m:r>
          </m:num>
          <m:den>
            <m:r>
              <w:rPr>
                <w:rFonts w:ascii="Cambria Math" w:eastAsia="Arial Unicode MS" w:hAnsi="Cambria Math" w:cs="Times New Roman"/>
                <w:kern w:val="3"/>
                <w:sz w:val="24"/>
                <w:szCs w:val="24"/>
              </w:rPr>
              <m:t xml:space="preserve">.10-0 </m:t>
            </m:r>
          </m:den>
        </m:f>
        <m:r>
          <w:rPr>
            <w:rFonts w:ascii="Cambria Math" w:eastAsia="Arial Unicode MS" w:hAnsi="Cambria Math" w:cs="Times New Roman"/>
            <w:kern w:val="3"/>
            <w:sz w:val="24"/>
            <w:szCs w:val="24"/>
          </w:rPr>
          <m:t>=$100</m:t>
        </m:r>
      </m:oMath>
      <w:r w:rsidR="00363830">
        <w:rPr>
          <w:rFonts w:ascii="Times New Roman" w:eastAsia="Arial Unicode MS" w:hAnsi="Times New Roman" w:cs="Times New Roman"/>
          <w:kern w:val="3"/>
          <w:sz w:val="24"/>
          <w:szCs w:val="24"/>
        </w:rPr>
        <w:t>)</w:t>
      </w:r>
      <w:r w:rsidR="00C764C5">
        <w:rPr>
          <w:rFonts w:ascii="Times New Roman" w:eastAsia="Arial Unicode MS" w:hAnsi="Times New Roman" w:cs="Times New Roman"/>
          <w:kern w:val="3"/>
          <w:sz w:val="24"/>
          <w:szCs w:val="24"/>
        </w:rPr>
        <w:t>.</w:t>
      </w:r>
    </w:p>
    <w:p w14:paraId="639973F3" w14:textId="12A50906" w:rsidR="007A4790" w:rsidRDefault="007A4790" w:rsidP="003E7054">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p>
    <w:p w14:paraId="5CFB3C7A" w14:textId="77777777" w:rsidR="009C15BF" w:rsidRPr="00E76547" w:rsidRDefault="009C15BF" w:rsidP="009C15BF">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Times New Roman"/>
          <w:kern w:val="3"/>
          <w:sz w:val="24"/>
          <w:szCs w:val="24"/>
        </w:rPr>
        <w:t xml:space="preserve">It’s important to note that the calculated $200 value of the stock for </w:t>
      </w:r>
      <w:r>
        <w:rPr>
          <w:rFonts w:ascii="Times New Roman" w:eastAsia="Arial Unicode MS" w:hAnsi="Times New Roman" w:cs="Arial Unicode MS"/>
          <w:kern w:val="3"/>
          <w:sz w:val="24"/>
          <w:szCs w:val="24"/>
        </w:rPr>
        <w:t>GITOW</w:t>
      </w:r>
      <w:r>
        <w:rPr>
          <w:rFonts w:ascii="Times New Roman" w:eastAsia="Arial Unicode MS" w:hAnsi="Times New Roman" w:cs="Times New Roman"/>
          <w:kern w:val="3"/>
          <w:sz w:val="24"/>
          <w:szCs w:val="24"/>
        </w:rPr>
        <w:t xml:space="preserve"> is based on an expectation that the company will return 15% on the project. The stock will be trading near $200 as the expectation is 100% that the project will be a success. If the realized return of the project is lower, then the stock will drop. The additional $100 ($200 value for </w:t>
      </w:r>
      <w:r>
        <w:rPr>
          <w:rFonts w:ascii="Times New Roman" w:eastAsia="Arial Unicode MS" w:hAnsi="Times New Roman" w:cs="Arial Unicode MS"/>
          <w:kern w:val="3"/>
          <w:sz w:val="24"/>
          <w:szCs w:val="24"/>
        </w:rPr>
        <w:t>GITOW</w:t>
      </w:r>
      <w:r>
        <w:rPr>
          <w:rFonts w:ascii="Times New Roman" w:eastAsia="Arial Unicode MS" w:hAnsi="Times New Roman" w:cs="Times New Roman"/>
          <w:kern w:val="3"/>
          <w:sz w:val="24"/>
          <w:szCs w:val="24"/>
        </w:rPr>
        <w:t xml:space="preserve"> - $100 value for CIK) is called Present Value of Growth Opportunities (PVGO).   </w:t>
      </w:r>
    </w:p>
    <w:p w14:paraId="2D4C071D" w14:textId="77777777" w:rsidR="009C15BF" w:rsidRPr="00903C7D" w:rsidRDefault="009C15BF" w:rsidP="009C15BF">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p>
    <w:p w14:paraId="129D16FB" w14:textId="77777777" w:rsidR="00621792" w:rsidRPr="00903C7D" w:rsidRDefault="00621792" w:rsidP="003E7054">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p>
    <w:p w14:paraId="09515451" w14:textId="2B19AA0A" w:rsidR="003E7054" w:rsidRDefault="003E7054" w:rsidP="003E7054">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Private Placements</w:t>
      </w:r>
      <w:r w:rsidR="009D1966">
        <w:rPr>
          <w:rFonts w:ascii="Times New Roman" w:eastAsia="Arial Unicode MS" w:hAnsi="Times New Roman" w:cs="Arial Unicode MS"/>
          <w:b/>
          <w:color w:val="0070C0"/>
          <w:kern w:val="3"/>
          <w:sz w:val="24"/>
          <w:szCs w:val="24"/>
        </w:rPr>
        <w:t xml:space="preserve"> and Private Investment in Public Equ</w:t>
      </w:r>
      <w:r w:rsidR="00F75B36">
        <w:rPr>
          <w:rFonts w:ascii="Times New Roman" w:eastAsia="Arial Unicode MS" w:hAnsi="Times New Roman" w:cs="Arial Unicode MS"/>
          <w:b/>
          <w:color w:val="0070C0"/>
          <w:kern w:val="3"/>
          <w:sz w:val="24"/>
          <w:szCs w:val="24"/>
        </w:rPr>
        <w:t>ity (PIPEs)</w:t>
      </w:r>
    </w:p>
    <w:p w14:paraId="101C5882" w14:textId="725D03D5" w:rsidR="003E7054" w:rsidRPr="00ED111D" w:rsidRDefault="001B0552" w:rsidP="00D96129">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Another way of raising capital is through private placement. The company issues </w:t>
      </w:r>
      <w:proofErr w:type="gramStart"/>
      <w:r>
        <w:rPr>
          <w:rFonts w:ascii="Times New Roman" w:eastAsia="Arial Unicode MS" w:hAnsi="Times New Roman" w:cs="Arial Unicode MS"/>
          <w:kern w:val="3"/>
          <w:sz w:val="24"/>
          <w:szCs w:val="24"/>
        </w:rPr>
        <w:t>shares</w:t>
      </w:r>
      <w:proofErr w:type="gramEnd"/>
      <w:r>
        <w:rPr>
          <w:rFonts w:ascii="Times New Roman" w:eastAsia="Arial Unicode MS" w:hAnsi="Times New Roman" w:cs="Arial Unicode MS"/>
          <w:kern w:val="3"/>
          <w:sz w:val="24"/>
          <w:szCs w:val="24"/>
        </w:rPr>
        <w:t xml:space="preserve"> to accredited investors (instead of the public) under the Securities Exchange Commission’s Regulation D. Private placements may be offered to an unlimited number of investors as long as they are accredited. The company prepares a </w:t>
      </w:r>
      <w:bookmarkStart w:id="14" w:name="_Hlk291026"/>
      <w:r>
        <w:rPr>
          <w:rFonts w:ascii="Times New Roman" w:eastAsia="Arial Unicode MS" w:hAnsi="Times New Roman" w:cs="Arial Unicode MS"/>
          <w:kern w:val="3"/>
          <w:sz w:val="24"/>
          <w:szCs w:val="24"/>
        </w:rPr>
        <w:t>Private Placement Memorandum (PPM)</w:t>
      </w:r>
      <w:bookmarkEnd w:id="14"/>
      <w:r>
        <w:rPr>
          <w:rFonts w:ascii="Times New Roman" w:eastAsia="Arial Unicode MS" w:hAnsi="Times New Roman" w:cs="Arial Unicode MS"/>
          <w:kern w:val="3"/>
          <w:sz w:val="24"/>
          <w:szCs w:val="24"/>
        </w:rPr>
        <w:t xml:space="preserve"> which includes a) </w:t>
      </w:r>
      <w:bookmarkStart w:id="15" w:name="_Hlk291068"/>
      <w:r>
        <w:rPr>
          <w:rFonts w:ascii="Times New Roman" w:eastAsia="Arial Unicode MS" w:hAnsi="Times New Roman" w:cs="Arial Unicode MS"/>
          <w:kern w:val="3"/>
          <w:sz w:val="24"/>
          <w:szCs w:val="24"/>
        </w:rPr>
        <w:t>the structure of the deal; b) brief information about the issuer; c) the issuer’s management; d) 2-3 years financial statements; e) risks and other disclosures; f) use of proceeds and g) the subscription agreement and sales contract</w:t>
      </w:r>
      <w:bookmarkEnd w:id="15"/>
      <w:r>
        <w:rPr>
          <w:rFonts w:ascii="Times New Roman" w:eastAsia="Arial Unicode MS" w:hAnsi="Times New Roman" w:cs="Arial Unicode MS"/>
          <w:kern w:val="3"/>
          <w:sz w:val="24"/>
          <w:szCs w:val="24"/>
        </w:rPr>
        <w:t>. Private Placement will be more thoroughly discussed in the next chapter (Chapter 6).</w:t>
      </w:r>
    </w:p>
    <w:p w14:paraId="74398BC4" w14:textId="77777777" w:rsidR="00ED111D" w:rsidRDefault="00ED111D" w:rsidP="001A37C4">
      <w:pPr>
        <w:widowControl w:val="0"/>
        <w:suppressAutoHyphens/>
        <w:autoSpaceDN w:val="0"/>
        <w:spacing w:after="0" w:line="240" w:lineRule="auto"/>
        <w:jc w:val="both"/>
        <w:textAlignment w:val="baseline"/>
        <w:rPr>
          <w:rFonts w:asciiTheme="majorHAnsi" w:eastAsiaTheme="majorEastAsia" w:hAnsiTheme="majorHAnsi" w:cs="Mangal"/>
          <w:color w:val="2F5496" w:themeColor="accent1" w:themeShade="BF"/>
          <w:kern w:val="3"/>
          <w:sz w:val="32"/>
          <w:szCs w:val="29"/>
        </w:rPr>
      </w:pPr>
    </w:p>
    <w:p w14:paraId="780C8315" w14:textId="77777777" w:rsidR="00870535" w:rsidRPr="00984EF4" w:rsidRDefault="00870535" w:rsidP="00870535">
      <w:pPr>
        <w:widowControl w:val="0"/>
        <w:suppressAutoHyphens/>
        <w:autoSpaceDN w:val="0"/>
        <w:spacing w:after="0" w:line="240" w:lineRule="auto"/>
        <w:jc w:val="both"/>
        <w:textAlignment w:val="baseline"/>
        <w:rPr>
          <w:rFonts w:asciiTheme="majorHAnsi" w:eastAsiaTheme="majorEastAsia" w:hAnsiTheme="majorHAnsi" w:cs="Mangal"/>
          <w:color w:val="2F5496" w:themeColor="accent1" w:themeShade="BF"/>
          <w:kern w:val="3"/>
          <w:sz w:val="32"/>
          <w:szCs w:val="29"/>
        </w:rPr>
      </w:pPr>
      <w:r>
        <w:rPr>
          <w:rFonts w:asciiTheme="majorHAnsi" w:eastAsiaTheme="majorEastAsia" w:hAnsiTheme="majorHAnsi" w:cs="Mangal"/>
          <w:color w:val="2F5496" w:themeColor="accent1" w:themeShade="BF"/>
          <w:kern w:val="3"/>
          <w:sz w:val="32"/>
          <w:szCs w:val="29"/>
        </w:rPr>
        <w:t>Syndication of Securities Offerings</w:t>
      </w:r>
    </w:p>
    <w:p w14:paraId="130DB4D1" w14:textId="77777777" w:rsidR="00870535" w:rsidRDefault="00870535" w:rsidP="00870535">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p>
    <w:p w14:paraId="0FDE76E4" w14:textId="57D6C457" w:rsidR="00870535" w:rsidRDefault="00B17D90" w:rsidP="00870535">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Initial Public Offering (IPO)</w:t>
      </w:r>
    </w:p>
    <w:p w14:paraId="67008C53" w14:textId="77777777" w:rsidR="0051009F" w:rsidRPr="00ED111D" w:rsidRDefault="0051009F" w:rsidP="0051009F">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An IPO is the company’s first public sale of securities - basically a privately-owned company is going public to raise capital primarily to either fund operations and/or payout the existing owners. The IPO itself is a registered filing with the SEC, offering the sale of the company’s stock to public investors. It involves choosing an investment advisor and underwriters to first determine the offering price and then secure potential investors. The success of an IPO is mainly dependent on </w:t>
      </w:r>
      <w:r>
        <w:rPr>
          <w:rFonts w:ascii="Times New Roman" w:eastAsia="Arial Unicode MS" w:hAnsi="Times New Roman" w:cs="Arial Unicode MS"/>
          <w:kern w:val="3"/>
          <w:sz w:val="24"/>
          <w:szCs w:val="24"/>
        </w:rPr>
        <w:lastRenderedPageBreak/>
        <w:t xml:space="preserve">favorable market conditions. The company also needs to have all the characteristics of an IPO including visibility of stable cash flows, a high probability of growth, and a demonstration of niche industry characteristics. Typically, the process takes 3-6 months depending on the condition of the market and size of the IPO. </w:t>
      </w:r>
    </w:p>
    <w:p w14:paraId="2D35B110" w14:textId="31523990" w:rsidR="000F525A" w:rsidRPr="000F525A" w:rsidRDefault="000F525A" w:rsidP="000F525A">
      <w:pPr>
        <w:spacing w:after="0" w:line="240" w:lineRule="auto"/>
        <w:rPr>
          <w:rFonts w:ascii="&amp;quot" w:eastAsia="Times New Roman" w:hAnsi="&amp;quot" w:cs="Times New Roman"/>
          <w:color w:val="000000"/>
          <w:sz w:val="21"/>
          <w:szCs w:val="21"/>
        </w:rPr>
      </w:pPr>
    </w:p>
    <w:p w14:paraId="305546FE" w14:textId="50C0A87A" w:rsidR="00A332A0" w:rsidRDefault="00A332A0" w:rsidP="00A332A0">
      <w:pPr>
        <w:spacing w:after="0" w:line="240" w:lineRule="auto"/>
        <w:jc w:val="both"/>
        <w:rPr>
          <w:rFonts w:ascii="Times New Roman" w:eastAsia="Arial Unicode MS" w:hAnsi="Times New Roman" w:cs="Arial Unicode MS"/>
          <w:kern w:val="3"/>
          <w:sz w:val="24"/>
          <w:szCs w:val="24"/>
        </w:rPr>
      </w:pPr>
      <w:r>
        <w:rPr>
          <w:rFonts w:ascii="Times New Roman" w:eastAsia="Arial Unicode MS" w:hAnsi="Times New Roman" w:cs="Arial Unicode MS"/>
          <w:b/>
          <w:color w:val="0070C0"/>
          <w:kern w:val="3"/>
          <w:sz w:val="24"/>
          <w:szCs w:val="24"/>
        </w:rPr>
        <w:t>STEP I: Select the Investment</w:t>
      </w:r>
      <w:r w:rsidR="007742B2">
        <w:rPr>
          <w:rFonts w:ascii="Times New Roman" w:eastAsia="Arial Unicode MS" w:hAnsi="Times New Roman" w:cs="Arial Unicode MS"/>
          <w:b/>
          <w:color w:val="0070C0"/>
          <w:kern w:val="3"/>
          <w:sz w:val="24"/>
          <w:szCs w:val="24"/>
        </w:rPr>
        <w:t xml:space="preserve"> Company/ Underwriter</w:t>
      </w:r>
      <w:r w:rsidRPr="000F525A">
        <w:rPr>
          <w:rFonts w:ascii="Times New Roman" w:eastAsia="Arial Unicode MS" w:hAnsi="Times New Roman" w:cs="Arial Unicode MS"/>
          <w:kern w:val="3"/>
          <w:sz w:val="24"/>
          <w:szCs w:val="24"/>
        </w:rPr>
        <w:t xml:space="preserve"> </w:t>
      </w:r>
    </w:p>
    <w:p w14:paraId="27AC8C0E" w14:textId="77777777" w:rsidR="006C257F" w:rsidRPr="00A332A0" w:rsidRDefault="006C257F" w:rsidP="006C257F">
      <w:pPr>
        <w:spacing w:after="0" w:line="240" w:lineRule="auto"/>
        <w:jc w:val="both"/>
        <w:rPr>
          <w:rFonts w:ascii="Times New Roman" w:eastAsia="Arial Unicode MS" w:hAnsi="Times New Roman" w:cs="Arial Unicode MS"/>
          <w:kern w:val="3"/>
          <w:sz w:val="24"/>
          <w:szCs w:val="24"/>
        </w:rPr>
      </w:pPr>
      <w:r w:rsidRPr="000F525A">
        <w:rPr>
          <w:rFonts w:ascii="Times New Roman" w:eastAsia="Arial Unicode MS" w:hAnsi="Times New Roman" w:cs="Arial Unicode MS"/>
          <w:kern w:val="3"/>
          <w:sz w:val="24"/>
          <w:szCs w:val="24"/>
        </w:rPr>
        <w:t xml:space="preserve">The first step </w:t>
      </w:r>
      <w:r>
        <w:rPr>
          <w:rFonts w:ascii="Times New Roman" w:eastAsia="Arial Unicode MS" w:hAnsi="Times New Roman" w:cs="Arial Unicode MS"/>
          <w:kern w:val="3"/>
          <w:sz w:val="24"/>
          <w:szCs w:val="24"/>
        </w:rPr>
        <w:t xml:space="preserve">for a company </w:t>
      </w:r>
      <w:r w:rsidRPr="000F525A">
        <w:rPr>
          <w:rFonts w:ascii="Times New Roman" w:eastAsia="Arial Unicode MS" w:hAnsi="Times New Roman" w:cs="Arial Unicode MS"/>
          <w:kern w:val="3"/>
          <w:sz w:val="24"/>
          <w:szCs w:val="24"/>
        </w:rPr>
        <w:t xml:space="preserve">in the IPO process is to </w:t>
      </w:r>
      <w:r>
        <w:rPr>
          <w:rFonts w:ascii="Times New Roman" w:eastAsia="Arial Unicode MS" w:hAnsi="Times New Roman" w:cs="Arial Unicode MS"/>
          <w:kern w:val="3"/>
          <w:sz w:val="24"/>
          <w:szCs w:val="24"/>
        </w:rPr>
        <w:t>choose</w:t>
      </w:r>
      <w:r w:rsidRPr="000F525A">
        <w:rPr>
          <w:rFonts w:ascii="Times New Roman" w:eastAsia="Arial Unicode MS" w:hAnsi="Times New Roman" w:cs="Arial Unicode MS"/>
          <w:kern w:val="3"/>
          <w:sz w:val="24"/>
          <w:szCs w:val="24"/>
        </w:rPr>
        <w:t xml:space="preserve"> an </w:t>
      </w:r>
      <w:hyperlink r:id="rId9" w:history="1">
        <w:r w:rsidRPr="000F525A">
          <w:rPr>
            <w:rFonts w:ascii="Times New Roman" w:eastAsia="Arial Unicode MS" w:hAnsi="Times New Roman" w:cs="Arial Unicode MS"/>
            <w:kern w:val="3"/>
            <w:sz w:val="24"/>
            <w:szCs w:val="24"/>
          </w:rPr>
          <w:t xml:space="preserve">investment </w:t>
        </w:r>
        <w:r>
          <w:rPr>
            <w:rFonts w:ascii="Times New Roman" w:eastAsia="Arial Unicode MS" w:hAnsi="Times New Roman" w:cs="Arial Unicode MS"/>
            <w:kern w:val="3"/>
            <w:sz w:val="24"/>
            <w:szCs w:val="24"/>
          </w:rPr>
          <w:t>bank</w:t>
        </w:r>
      </w:hyperlink>
      <w:r w:rsidRPr="000F525A">
        <w:rPr>
          <w:rFonts w:ascii="Times New Roman" w:eastAsia="Arial Unicode MS" w:hAnsi="Times New Roman" w:cs="Arial Unicode MS"/>
          <w:kern w:val="3"/>
          <w:sz w:val="24"/>
          <w:szCs w:val="24"/>
        </w:rPr>
        <w:t xml:space="preserve"> that is willing to underwrite</w:t>
      </w:r>
      <w:r>
        <w:rPr>
          <w:rFonts w:ascii="Times New Roman" w:eastAsia="Arial Unicode MS" w:hAnsi="Times New Roman" w:cs="Arial Unicode MS"/>
          <w:kern w:val="3"/>
          <w:sz w:val="24"/>
          <w:szCs w:val="24"/>
        </w:rPr>
        <w:t xml:space="preserve"> the IPO</w:t>
      </w:r>
      <w:r w:rsidRPr="000F525A">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t>Before the IPO process officially starts, the u</w:t>
      </w:r>
      <w:r w:rsidRPr="000F525A">
        <w:rPr>
          <w:rFonts w:ascii="Times New Roman" w:eastAsia="Arial Unicode MS" w:hAnsi="Times New Roman" w:cs="Arial Unicode MS"/>
          <w:kern w:val="3"/>
          <w:sz w:val="24"/>
          <w:szCs w:val="24"/>
        </w:rPr>
        <w:t xml:space="preserve">nderwriter will </w:t>
      </w:r>
      <w:r>
        <w:rPr>
          <w:rFonts w:ascii="Times New Roman" w:eastAsia="Arial Unicode MS" w:hAnsi="Times New Roman" w:cs="Arial Unicode MS"/>
          <w:kern w:val="3"/>
          <w:sz w:val="24"/>
          <w:szCs w:val="24"/>
        </w:rPr>
        <w:t xml:space="preserve">ask for </w:t>
      </w:r>
      <w:r w:rsidRPr="000F525A">
        <w:rPr>
          <w:rFonts w:ascii="Times New Roman" w:eastAsia="Arial Unicode MS" w:hAnsi="Times New Roman" w:cs="Arial Unicode MS"/>
          <w:kern w:val="3"/>
          <w:sz w:val="24"/>
          <w:szCs w:val="24"/>
        </w:rPr>
        <w:t xml:space="preserve">a </w:t>
      </w:r>
      <w:hyperlink r:id="rId10" w:history="1">
        <w:r>
          <w:rPr>
            <w:rFonts w:ascii="Times New Roman" w:eastAsia="Arial Unicode MS" w:hAnsi="Times New Roman" w:cs="Arial Unicode MS"/>
            <w:kern w:val="3"/>
            <w:sz w:val="24"/>
            <w:szCs w:val="24"/>
          </w:rPr>
          <w:t>L</w:t>
        </w:r>
        <w:r w:rsidRPr="000F525A">
          <w:rPr>
            <w:rFonts w:ascii="Times New Roman" w:eastAsia="Arial Unicode MS" w:hAnsi="Times New Roman" w:cs="Arial Unicode MS"/>
            <w:kern w:val="3"/>
            <w:sz w:val="24"/>
            <w:szCs w:val="24"/>
          </w:rPr>
          <w:t xml:space="preserve">etter of </w:t>
        </w:r>
        <w:r>
          <w:rPr>
            <w:rFonts w:ascii="Times New Roman" w:eastAsia="Arial Unicode MS" w:hAnsi="Times New Roman" w:cs="Arial Unicode MS"/>
            <w:kern w:val="3"/>
            <w:sz w:val="24"/>
            <w:szCs w:val="24"/>
          </w:rPr>
          <w:t>I</w:t>
        </w:r>
        <w:r w:rsidRPr="000F525A">
          <w:rPr>
            <w:rFonts w:ascii="Times New Roman" w:eastAsia="Arial Unicode MS" w:hAnsi="Times New Roman" w:cs="Arial Unicode MS"/>
            <w:kern w:val="3"/>
            <w:sz w:val="24"/>
            <w:szCs w:val="24"/>
          </w:rPr>
          <w:t>ntent</w:t>
        </w:r>
      </w:hyperlink>
      <w:r>
        <w:rPr>
          <w:rFonts w:ascii="Times New Roman" w:eastAsia="Arial Unicode MS" w:hAnsi="Times New Roman" w:cs="Arial Unicode MS"/>
          <w:kern w:val="3"/>
          <w:sz w:val="24"/>
          <w:szCs w:val="24"/>
        </w:rPr>
        <w:t xml:space="preserve"> (LOI)</w:t>
      </w:r>
      <w:r w:rsidRPr="000F525A">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t xml:space="preserve">in order to have an understanding that the process will definitely come underway. This is because the </w:t>
      </w:r>
      <w:r w:rsidRPr="000F525A">
        <w:rPr>
          <w:rFonts w:ascii="Times New Roman" w:eastAsia="Arial Unicode MS" w:hAnsi="Times New Roman" w:cs="Arial Unicode MS"/>
          <w:kern w:val="3"/>
          <w:sz w:val="24"/>
          <w:szCs w:val="24"/>
        </w:rPr>
        <w:t>underwriter will usually incur a set of initial expenses</w:t>
      </w:r>
      <w:r>
        <w:rPr>
          <w:rFonts w:ascii="Times New Roman" w:eastAsia="Arial Unicode MS" w:hAnsi="Times New Roman" w:cs="Arial Unicode MS"/>
          <w:kern w:val="3"/>
          <w:sz w:val="24"/>
          <w:szCs w:val="24"/>
        </w:rPr>
        <w:t>. This</w:t>
      </w:r>
      <w:r w:rsidRPr="000F525A">
        <w:rPr>
          <w:rFonts w:ascii="Times New Roman" w:eastAsia="Arial Unicode MS" w:hAnsi="Times New Roman" w:cs="Arial Unicode MS"/>
          <w:kern w:val="3"/>
          <w:sz w:val="24"/>
          <w:szCs w:val="24"/>
        </w:rPr>
        <w:t xml:space="preserve"> agreement will typical</w:t>
      </w:r>
      <w:r>
        <w:rPr>
          <w:rFonts w:ascii="Times New Roman" w:eastAsia="Arial Unicode MS" w:hAnsi="Times New Roman" w:cs="Arial Unicode MS"/>
          <w:kern w:val="3"/>
          <w:sz w:val="24"/>
          <w:szCs w:val="24"/>
        </w:rPr>
        <w:t xml:space="preserve">ly at a minimum </w:t>
      </w:r>
      <w:r w:rsidRPr="000F525A">
        <w:rPr>
          <w:rFonts w:ascii="Times New Roman" w:eastAsia="Arial Unicode MS" w:hAnsi="Times New Roman" w:cs="Arial Unicode MS"/>
          <w:kern w:val="3"/>
          <w:sz w:val="24"/>
          <w:szCs w:val="24"/>
        </w:rPr>
        <w:t>offer</w:t>
      </w:r>
      <w:r>
        <w:rPr>
          <w:rFonts w:ascii="Times New Roman" w:eastAsia="Arial Unicode MS" w:hAnsi="Times New Roman" w:cs="Arial Unicode MS"/>
          <w:kern w:val="3"/>
          <w:sz w:val="24"/>
          <w:szCs w:val="24"/>
        </w:rPr>
        <w:t xml:space="preserve"> </w:t>
      </w:r>
      <w:r w:rsidRPr="000F525A">
        <w:rPr>
          <w:rFonts w:ascii="Times New Roman" w:eastAsia="Arial Unicode MS" w:hAnsi="Times New Roman" w:cs="Arial Unicode MS"/>
          <w:kern w:val="3"/>
          <w:sz w:val="24"/>
          <w:szCs w:val="24"/>
        </w:rPr>
        <w:t>reimbursement for th</w:t>
      </w:r>
      <w:r>
        <w:rPr>
          <w:rFonts w:ascii="Times New Roman" w:eastAsia="Arial Unicode MS" w:hAnsi="Times New Roman" w:cs="Arial Unicode MS"/>
          <w:kern w:val="3"/>
          <w:sz w:val="24"/>
          <w:szCs w:val="24"/>
        </w:rPr>
        <w:t>e</w:t>
      </w:r>
      <w:r w:rsidRPr="000F525A">
        <w:rPr>
          <w:rFonts w:ascii="Times New Roman" w:eastAsia="Arial Unicode MS" w:hAnsi="Times New Roman" w:cs="Arial Unicode MS"/>
          <w:kern w:val="3"/>
          <w:sz w:val="24"/>
          <w:szCs w:val="24"/>
        </w:rPr>
        <w:t>se expenses</w:t>
      </w:r>
      <w:r>
        <w:rPr>
          <w:rFonts w:ascii="Times New Roman" w:eastAsia="Arial Unicode MS" w:hAnsi="Times New Roman" w:cs="Arial Unicode MS"/>
          <w:kern w:val="3"/>
          <w:sz w:val="24"/>
          <w:szCs w:val="24"/>
        </w:rPr>
        <w:t xml:space="preserve"> in case the company changes its mind with regards to registering for an IPO. Furthermore, the LOI binds the</w:t>
      </w:r>
      <w:r w:rsidRPr="000F525A">
        <w:rPr>
          <w:rFonts w:ascii="Times New Roman" w:eastAsia="Arial Unicode MS" w:hAnsi="Times New Roman" w:cs="Arial Unicode MS"/>
          <w:kern w:val="3"/>
          <w:sz w:val="24"/>
          <w:szCs w:val="24"/>
        </w:rPr>
        <w:t xml:space="preserve"> company </w:t>
      </w:r>
      <w:r>
        <w:rPr>
          <w:rFonts w:ascii="Times New Roman" w:eastAsia="Arial Unicode MS" w:hAnsi="Times New Roman" w:cs="Arial Unicode MS"/>
          <w:kern w:val="3"/>
          <w:sz w:val="24"/>
          <w:szCs w:val="24"/>
        </w:rPr>
        <w:t xml:space="preserve">to being </w:t>
      </w:r>
      <w:r w:rsidRPr="000F525A">
        <w:rPr>
          <w:rFonts w:ascii="Times New Roman" w:eastAsia="Arial Unicode MS" w:hAnsi="Times New Roman" w:cs="Arial Unicode MS"/>
          <w:kern w:val="3"/>
          <w:sz w:val="24"/>
          <w:szCs w:val="24"/>
        </w:rPr>
        <w:t>cooperative in</w:t>
      </w:r>
      <w:r>
        <w:rPr>
          <w:rFonts w:ascii="Times New Roman" w:eastAsia="Arial Unicode MS" w:hAnsi="Times New Roman" w:cs="Arial Unicode MS"/>
          <w:kern w:val="3"/>
          <w:sz w:val="24"/>
          <w:szCs w:val="24"/>
        </w:rPr>
        <w:t xml:space="preserve"> the</w:t>
      </w:r>
      <w:r w:rsidRPr="000F525A">
        <w:rPr>
          <w:rFonts w:ascii="Times New Roman" w:eastAsia="Arial Unicode MS" w:hAnsi="Times New Roman" w:cs="Arial Unicode MS"/>
          <w:kern w:val="3"/>
          <w:sz w:val="24"/>
          <w:szCs w:val="24"/>
        </w:rPr>
        <w:t xml:space="preserve"> disclosing </w:t>
      </w:r>
      <w:r>
        <w:rPr>
          <w:rFonts w:ascii="Times New Roman" w:eastAsia="Arial Unicode MS" w:hAnsi="Times New Roman" w:cs="Arial Unicode MS"/>
          <w:kern w:val="3"/>
          <w:sz w:val="24"/>
          <w:szCs w:val="24"/>
        </w:rPr>
        <w:t xml:space="preserve">of </w:t>
      </w:r>
      <w:r w:rsidRPr="000F525A">
        <w:rPr>
          <w:rFonts w:ascii="Times New Roman" w:eastAsia="Arial Unicode MS" w:hAnsi="Times New Roman" w:cs="Arial Unicode MS"/>
          <w:kern w:val="3"/>
          <w:sz w:val="24"/>
          <w:szCs w:val="24"/>
        </w:rPr>
        <w:t xml:space="preserve">all requested financial information </w:t>
      </w:r>
      <w:r>
        <w:rPr>
          <w:rFonts w:ascii="Times New Roman" w:eastAsia="Arial Unicode MS" w:hAnsi="Times New Roman" w:cs="Arial Unicode MS"/>
          <w:kern w:val="3"/>
          <w:sz w:val="24"/>
          <w:szCs w:val="24"/>
        </w:rPr>
        <w:t>during the</w:t>
      </w:r>
      <w:r w:rsidRPr="000F525A">
        <w:rPr>
          <w:rFonts w:ascii="Times New Roman" w:eastAsia="Arial Unicode MS" w:hAnsi="Times New Roman" w:cs="Arial Unicode MS"/>
          <w:kern w:val="3"/>
          <w:sz w:val="24"/>
          <w:szCs w:val="24"/>
        </w:rPr>
        <w:t xml:space="preserve"> IPO process. </w:t>
      </w:r>
      <w:r>
        <w:rPr>
          <w:rFonts w:ascii="Times New Roman" w:eastAsia="Arial Unicode MS" w:hAnsi="Times New Roman" w:cs="Arial Unicode MS"/>
          <w:kern w:val="3"/>
          <w:sz w:val="24"/>
          <w:szCs w:val="24"/>
        </w:rPr>
        <w:t>The</w:t>
      </w:r>
      <w:r w:rsidRPr="000F525A">
        <w:rPr>
          <w:rFonts w:ascii="Times New Roman" w:eastAsia="Arial Unicode MS" w:hAnsi="Times New Roman" w:cs="Arial Unicode MS"/>
          <w:kern w:val="3"/>
          <w:sz w:val="24"/>
          <w:szCs w:val="24"/>
        </w:rPr>
        <w:t xml:space="preserve"> underwriter </w:t>
      </w:r>
      <w:r>
        <w:rPr>
          <w:rFonts w:ascii="Times New Roman" w:eastAsia="Arial Unicode MS" w:hAnsi="Times New Roman" w:cs="Arial Unicode MS"/>
          <w:kern w:val="3"/>
          <w:sz w:val="24"/>
          <w:szCs w:val="24"/>
        </w:rPr>
        <w:t>w</w:t>
      </w:r>
      <w:r w:rsidRPr="000F525A">
        <w:rPr>
          <w:rFonts w:ascii="Times New Roman" w:eastAsia="Arial Unicode MS" w:hAnsi="Times New Roman" w:cs="Arial Unicode MS"/>
          <w:kern w:val="3"/>
          <w:sz w:val="24"/>
          <w:szCs w:val="24"/>
        </w:rPr>
        <w:t xml:space="preserve">ill agree to act </w:t>
      </w:r>
      <w:r>
        <w:rPr>
          <w:rFonts w:ascii="Times New Roman" w:eastAsia="Arial Unicode MS" w:hAnsi="Times New Roman" w:cs="Arial Unicode MS"/>
          <w:kern w:val="3"/>
          <w:sz w:val="24"/>
          <w:szCs w:val="24"/>
        </w:rPr>
        <w:t xml:space="preserve">as </w:t>
      </w:r>
      <w:r w:rsidRPr="000F525A">
        <w:rPr>
          <w:rFonts w:ascii="Times New Roman" w:eastAsia="Arial Unicode MS" w:hAnsi="Times New Roman" w:cs="Arial Unicode MS"/>
          <w:kern w:val="3"/>
          <w:sz w:val="24"/>
          <w:szCs w:val="24"/>
        </w:rPr>
        <w:t>diligently as possible in completing the registration</w:t>
      </w:r>
      <w:r>
        <w:rPr>
          <w:rFonts w:ascii="Times New Roman" w:eastAsia="Arial Unicode MS" w:hAnsi="Times New Roman" w:cs="Arial Unicode MS"/>
          <w:kern w:val="3"/>
          <w:sz w:val="24"/>
          <w:szCs w:val="24"/>
        </w:rPr>
        <w:t xml:space="preserve"> and the </w:t>
      </w:r>
      <w:r w:rsidRPr="000F525A">
        <w:rPr>
          <w:rFonts w:ascii="Times New Roman" w:eastAsia="Arial Unicode MS" w:hAnsi="Times New Roman" w:cs="Arial Unicode MS"/>
          <w:kern w:val="3"/>
          <w:sz w:val="24"/>
          <w:szCs w:val="24"/>
        </w:rPr>
        <w:t>selli</w:t>
      </w:r>
      <w:r>
        <w:rPr>
          <w:rFonts w:ascii="Times New Roman" w:eastAsia="Arial Unicode MS" w:hAnsi="Times New Roman" w:cs="Arial Unicode MS"/>
          <w:kern w:val="3"/>
          <w:sz w:val="24"/>
          <w:szCs w:val="24"/>
        </w:rPr>
        <w:t>ng</w:t>
      </w:r>
      <w:r w:rsidRPr="000F525A">
        <w:rPr>
          <w:rFonts w:ascii="Times New Roman" w:eastAsia="Arial Unicode MS" w:hAnsi="Times New Roman" w:cs="Arial Unicode MS"/>
          <w:kern w:val="3"/>
          <w:sz w:val="24"/>
          <w:szCs w:val="24"/>
        </w:rPr>
        <w:t xml:space="preserve"> and distributi</w:t>
      </w:r>
      <w:r>
        <w:rPr>
          <w:rFonts w:ascii="Times New Roman" w:eastAsia="Arial Unicode MS" w:hAnsi="Times New Roman" w:cs="Arial Unicode MS"/>
          <w:kern w:val="3"/>
          <w:sz w:val="24"/>
          <w:szCs w:val="24"/>
        </w:rPr>
        <w:t>on of</w:t>
      </w:r>
      <w:r w:rsidRPr="000F525A">
        <w:rPr>
          <w:rFonts w:ascii="Times New Roman" w:eastAsia="Arial Unicode MS" w:hAnsi="Times New Roman" w:cs="Arial Unicode MS"/>
          <w:kern w:val="3"/>
          <w:sz w:val="24"/>
          <w:szCs w:val="24"/>
        </w:rPr>
        <w:t xml:space="preserve"> the </w:t>
      </w:r>
      <w:r>
        <w:rPr>
          <w:rFonts w:ascii="Times New Roman" w:eastAsia="Arial Unicode MS" w:hAnsi="Times New Roman" w:cs="Arial Unicode MS"/>
          <w:kern w:val="3"/>
          <w:sz w:val="24"/>
          <w:szCs w:val="24"/>
        </w:rPr>
        <w:t>company’s</w:t>
      </w:r>
      <w:r w:rsidRPr="000F525A">
        <w:rPr>
          <w:rFonts w:ascii="Times New Roman" w:eastAsia="Arial Unicode MS" w:hAnsi="Times New Roman" w:cs="Arial Unicode MS"/>
          <w:kern w:val="3"/>
          <w:sz w:val="24"/>
          <w:szCs w:val="24"/>
        </w:rPr>
        <w:t xml:space="preserve"> </w:t>
      </w:r>
      <w:hyperlink r:id="rId11" w:history="1">
        <w:r w:rsidRPr="000F525A">
          <w:rPr>
            <w:rFonts w:ascii="Times New Roman" w:eastAsia="Arial Unicode MS" w:hAnsi="Times New Roman" w:cs="Arial Unicode MS"/>
            <w:kern w:val="3"/>
            <w:sz w:val="24"/>
            <w:szCs w:val="24"/>
          </w:rPr>
          <w:t>shares</w:t>
        </w:r>
      </w:hyperlink>
      <w:r w:rsidRPr="000F525A">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t>The u</w:t>
      </w:r>
      <w:hyperlink r:id="rId12" w:history="1">
        <w:r w:rsidRPr="000F525A">
          <w:rPr>
            <w:rFonts w:ascii="Times New Roman" w:eastAsia="Arial Unicode MS" w:hAnsi="Times New Roman" w:cs="Arial Unicode MS"/>
            <w:kern w:val="3"/>
            <w:sz w:val="24"/>
            <w:szCs w:val="24"/>
          </w:rPr>
          <w:t>nderwriting</w:t>
        </w:r>
      </w:hyperlink>
      <w:r w:rsidRPr="000F525A">
        <w:rPr>
          <w:rFonts w:ascii="Times New Roman" w:eastAsia="Arial Unicode MS" w:hAnsi="Times New Roman" w:cs="Arial Unicode MS"/>
          <w:kern w:val="3"/>
          <w:sz w:val="24"/>
          <w:szCs w:val="24"/>
        </w:rPr>
        <w:t xml:space="preserve"> fees are also </w:t>
      </w:r>
      <w:r>
        <w:rPr>
          <w:rFonts w:ascii="Times New Roman" w:eastAsia="Arial Unicode MS" w:hAnsi="Times New Roman" w:cs="Arial Unicode MS"/>
          <w:kern w:val="3"/>
          <w:sz w:val="24"/>
          <w:szCs w:val="24"/>
        </w:rPr>
        <w:t xml:space="preserve">included </w:t>
      </w:r>
      <w:r w:rsidRPr="000F525A">
        <w:rPr>
          <w:rFonts w:ascii="Times New Roman" w:eastAsia="Arial Unicode MS" w:hAnsi="Times New Roman" w:cs="Arial Unicode MS"/>
          <w:kern w:val="3"/>
          <w:sz w:val="24"/>
          <w:szCs w:val="24"/>
        </w:rPr>
        <w:t xml:space="preserve">in </w:t>
      </w:r>
      <w:r>
        <w:rPr>
          <w:rFonts w:ascii="Times New Roman" w:eastAsia="Arial Unicode MS" w:hAnsi="Times New Roman" w:cs="Arial Unicode MS"/>
          <w:kern w:val="3"/>
          <w:sz w:val="24"/>
          <w:szCs w:val="24"/>
        </w:rPr>
        <w:t>the LOI.</w:t>
      </w:r>
    </w:p>
    <w:p w14:paraId="7E06A72C" w14:textId="77777777" w:rsidR="00237CD9" w:rsidRPr="00A332A0" w:rsidRDefault="00237CD9" w:rsidP="00A332A0">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p>
    <w:p w14:paraId="3B69B103" w14:textId="0A520C76" w:rsidR="00C700D5" w:rsidRDefault="00C700D5" w:rsidP="00A332A0">
      <w:pPr>
        <w:spacing w:after="0" w:line="240" w:lineRule="auto"/>
        <w:jc w:val="both"/>
        <w:rPr>
          <w:rFonts w:ascii="Times New Roman" w:eastAsia="Arial Unicode MS" w:hAnsi="Times New Roman" w:cs="Arial Unicode MS"/>
          <w:kern w:val="3"/>
          <w:sz w:val="24"/>
          <w:szCs w:val="24"/>
        </w:rPr>
      </w:pPr>
      <w:r>
        <w:rPr>
          <w:rFonts w:ascii="Times New Roman" w:eastAsia="Arial Unicode MS" w:hAnsi="Times New Roman" w:cs="Arial Unicode MS"/>
          <w:b/>
          <w:color w:val="0070C0"/>
          <w:kern w:val="3"/>
          <w:sz w:val="24"/>
          <w:szCs w:val="24"/>
        </w:rPr>
        <w:t xml:space="preserve">STEP II: Preparing the Documents </w:t>
      </w:r>
      <w:r w:rsidR="00EC2AEE">
        <w:rPr>
          <w:rFonts w:ascii="Times New Roman" w:eastAsia="Arial Unicode MS" w:hAnsi="Times New Roman" w:cs="Arial Unicode MS"/>
          <w:b/>
          <w:color w:val="0070C0"/>
          <w:kern w:val="3"/>
          <w:sz w:val="24"/>
          <w:szCs w:val="24"/>
        </w:rPr>
        <w:t>for the</w:t>
      </w:r>
      <w:r>
        <w:rPr>
          <w:rFonts w:ascii="Times New Roman" w:eastAsia="Arial Unicode MS" w:hAnsi="Times New Roman" w:cs="Arial Unicode MS"/>
          <w:b/>
          <w:color w:val="0070C0"/>
          <w:kern w:val="3"/>
          <w:sz w:val="24"/>
          <w:szCs w:val="24"/>
        </w:rPr>
        <w:t xml:space="preserve"> IPO</w:t>
      </w:r>
    </w:p>
    <w:p w14:paraId="191D5F40" w14:textId="16DBEC86" w:rsidR="00C80266" w:rsidRPr="00A332A0" w:rsidRDefault="00C80266" w:rsidP="00C80266">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The</w:t>
      </w:r>
      <w:r w:rsidRPr="00916220">
        <w:rPr>
          <w:rFonts w:ascii="Times New Roman" w:eastAsia="Arial Unicode MS" w:hAnsi="Times New Roman" w:cs="Arial Unicode MS"/>
          <w:kern w:val="3"/>
          <w:sz w:val="24"/>
          <w:szCs w:val="24"/>
        </w:rPr>
        <w:t xml:space="preserve"> next step in the IPO process involves preparing </w:t>
      </w:r>
      <w:r>
        <w:rPr>
          <w:rFonts w:ascii="Times New Roman" w:eastAsia="Arial Unicode MS" w:hAnsi="Times New Roman" w:cs="Arial Unicode MS"/>
          <w:kern w:val="3"/>
          <w:sz w:val="24"/>
          <w:szCs w:val="24"/>
        </w:rPr>
        <w:t xml:space="preserve">all the necessary information including </w:t>
      </w:r>
      <w:r w:rsidRPr="00916220">
        <w:rPr>
          <w:rFonts w:ascii="Times New Roman" w:eastAsia="Arial Unicode MS" w:hAnsi="Times New Roman" w:cs="Arial Unicode MS"/>
          <w:kern w:val="3"/>
          <w:sz w:val="24"/>
          <w:szCs w:val="24"/>
        </w:rPr>
        <w:t xml:space="preserve">financial </w:t>
      </w:r>
      <w:r>
        <w:rPr>
          <w:rFonts w:ascii="Times New Roman" w:eastAsia="Arial Unicode MS" w:hAnsi="Times New Roman" w:cs="Arial Unicode MS"/>
          <w:kern w:val="3"/>
          <w:sz w:val="24"/>
          <w:szCs w:val="24"/>
        </w:rPr>
        <w:t>statements that will be disclo</w:t>
      </w:r>
      <w:r w:rsidRPr="00916220">
        <w:rPr>
          <w:rFonts w:ascii="Times New Roman" w:eastAsia="Arial Unicode MS" w:hAnsi="Times New Roman" w:cs="Arial Unicode MS"/>
          <w:kern w:val="3"/>
          <w:sz w:val="24"/>
          <w:szCs w:val="24"/>
        </w:rPr>
        <w:t>s</w:t>
      </w:r>
      <w:r>
        <w:rPr>
          <w:rFonts w:ascii="Times New Roman" w:eastAsia="Arial Unicode MS" w:hAnsi="Times New Roman" w:cs="Arial Unicode MS"/>
          <w:kern w:val="3"/>
          <w:sz w:val="24"/>
          <w:szCs w:val="24"/>
        </w:rPr>
        <w:t>ed for o</w:t>
      </w:r>
      <w:r w:rsidRPr="00916220">
        <w:rPr>
          <w:rFonts w:ascii="Times New Roman" w:eastAsia="Arial Unicode MS" w:hAnsi="Times New Roman" w:cs="Arial Unicode MS"/>
          <w:kern w:val="3"/>
          <w:sz w:val="24"/>
          <w:szCs w:val="24"/>
        </w:rPr>
        <w:t xml:space="preserve">fficial registration. </w:t>
      </w:r>
      <w:r>
        <w:rPr>
          <w:rFonts w:ascii="Times New Roman" w:eastAsia="Arial Unicode MS" w:hAnsi="Times New Roman" w:cs="Arial Unicode MS"/>
          <w:kern w:val="3"/>
          <w:sz w:val="24"/>
          <w:szCs w:val="24"/>
        </w:rPr>
        <w:t>The Securities Exchange Commission (SEC) has a</w:t>
      </w:r>
      <w:r w:rsidRPr="00916220">
        <w:rPr>
          <w:rFonts w:ascii="Times New Roman" w:eastAsia="Arial Unicode MS" w:hAnsi="Times New Roman" w:cs="Arial Unicode MS"/>
          <w:kern w:val="3"/>
          <w:sz w:val="24"/>
          <w:szCs w:val="24"/>
        </w:rPr>
        <w:t xml:space="preserve"> very specific criteria</w:t>
      </w:r>
      <w:r>
        <w:rPr>
          <w:rFonts w:ascii="Times New Roman" w:eastAsia="Arial Unicode MS" w:hAnsi="Times New Roman" w:cs="Arial Unicode MS"/>
          <w:kern w:val="3"/>
          <w:sz w:val="24"/>
          <w:szCs w:val="24"/>
        </w:rPr>
        <w:t xml:space="preserve"> for filing</w:t>
      </w:r>
      <w:r w:rsidRPr="00916220">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t>The SEC’s duty is to make sure that the company adequately informs the p</w:t>
      </w:r>
      <w:r w:rsidRPr="00916220">
        <w:rPr>
          <w:rFonts w:ascii="Times New Roman" w:eastAsia="Arial Unicode MS" w:hAnsi="Times New Roman" w:cs="Arial Unicode MS"/>
          <w:kern w:val="3"/>
          <w:sz w:val="24"/>
          <w:szCs w:val="24"/>
        </w:rPr>
        <w:t xml:space="preserve">rospective investors </w:t>
      </w:r>
      <w:r>
        <w:rPr>
          <w:rFonts w:ascii="Times New Roman" w:eastAsia="Arial Unicode MS" w:hAnsi="Times New Roman" w:cs="Arial Unicode MS"/>
          <w:kern w:val="3"/>
          <w:sz w:val="24"/>
          <w:szCs w:val="24"/>
        </w:rPr>
        <w:t>a</w:t>
      </w:r>
      <w:r w:rsidRPr="00916220">
        <w:rPr>
          <w:rFonts w:ascii="Times New Roman" w:eastAsia="Arial Unicode MS" w:hAnsi="Times New Roman" w:cs="Arial Unicode MS"/>
          <w:kern w:val="3"/>
          <w:sz w:val="24"/>
          <w:szCs w:val="24"/>
        </w:rPr>
        <w:t>bout the financial performance of the firm</w:t>
      </w:r>
      <w:r>
        <w:rPr>
          <w:rFonts w:ascii="Times New Roman" w:eastAsia="Arial Unicode MS" w:hAnsi="Times New Roman" w:cs="Arial Unicode MS"/>
          <w:kern w:val="3"/>
          <w:sz w:val="24"/>
          <w:szCs w:val="24"/>
        </w:rPr>
        <w:t xml:space="preserve"> </w:t>
      </w:r>
      <w:r w:rsidRPr="00916220">
        <w:rPr>
          <w:rFonts w:ascii="Times New Roman" w:eastAsia="Arial Unicode MS" w:hAnsi="Times New Roman" w:cs="Arial Unicode MS"/>
          <w:kern w:val="3"/>
          <w:sz w:val="24"/>
          <w:szCs w:val="24"/>
        </w:rPr>
        <w:t xml:space="preserve">and </w:t>
      </w:r>
      <w:r>
        <w:rPr>
          <w:rFonts w:ascii="Times New Roman" w:eastAsia="Arial Unicode MS" w:hAnsi="Times New Roman" w:cs="Arial Unicode MS"/>
          <w:kern w:val="3"/>
          <w:sz w:val="24"/>
          <w:szCs w:val="24"/>
        </w:rPr>
        <w:t xml:space="preserve">the </w:t>
      </w:r>
      <w:r w:rsidRPr="00916220">
        <w:rPr>
          <w:rFonts w:ascii="Times New Roman" w:eastAsia="Arial Unicode MS" w:hAnsi="Times New Roman" w:cs="Arial Unicode MS"/>
          <w:kern w:val="3"/>
          <w:sz w:val="24"/>
          <w:szCs w:val="24"/>
        </w:rPr>
        <w:t>risk factors</w:t>
      </w:r>
      <w:r>
        <w:rPr>
          <w:rFonts w:ascii="Times New Roman" w:eastAsia="Arial Unicode MS" w:hAnsi="Times New Roman" w:cs="Arial Unicode MS"/>
          <w:kern w:val="3"/>
          <w:sz w:val="24"/>
          <w:szCs w:val="24"/>
        </w:rPr>
        <w:t xml:space="preserve"> present. This document that includes all the information the SEC requires is referred to as the preliminary prospectus or the Red Hearings.</w:t>
      </w:r>
    </w:p>
    <w:p w14:paraId="3CD09177" w14:textId="77777777" w:rsidR="006B7D2C" w:rsidRDefault="006B7D2C" w:rsidP="00A332A0">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p>
    <w:p w14:paraId="10415FA0" w14:textId="0D84DAF5" w:rsidR="0012038E" w:rsidRDefault="00C700D5" w:rsidP="00A332A0">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STEP II</w:t>
      </w:r>
      <w:r w:rsidR="0012038E">
        <w:rPr>
          <w:rFonts w:ascii="Times New Roman" w:eastAsia="Arial Unicode MS" w:hAnsi="Times New Roman" w:cs="Arial Unicode MS"/>
          <w:b/>
          <w:color w:val="0070C0"/>
          <w:kern w:val="3"/>
          <w:sz w:val="24"/>
          <w:szCs w:val="24"/>
        </w:rPr>
        <w:t>I</w:t>
      </w:r>
      <w:r>
        <w:rPr>
          <w:rFonts w:ascii="Times New Roman" w:eastAsia="Arial Unicode MS" w:hAnsi="Times New Roman" w:cs="Arial Unicode MS"/>
          <w:b/>
          <w:color w:val="0070C0"/>
          <w:kern w:val="3"/>
          <w:sz w:val="24"/>
          <w:szCs w:val="24"/>
        </w:rPr>
        <w:t xml:space="preserve">: </w:t>
      </w:r>
      <w:r w:rsidR="0012038E">
        <w:rPr>
          <w:rFonts w:ascii="Times New Roman" w:eastAsia="Arial Unicode MS" w:hAnsi="Times New Roman" w:cs="Arial Unicode MS"/>
          <w:b/>
          <w:color w:val="0070C0"/>
          <w:kern w:val="3"/>
          <w:sz w:val="24"/>
          <w:szCs w:val="24"/>
        </w:rPr>
        <w:t xml:space="preserve">SEC </w:t>
      </w:r>
      <w:r>
        <w:rPr>
          <w:rFonts w:ascii="Times New Roman" w:eastAsia="Arial Unicode MS" w:hAnsi="Times New Roman" w:cs="Arial Unicode MS"/>
          <w:b/>
          <w:color w:val="0070C0"/>
          <w:kern w:val="3"/>
          <w:sz w:val="24"/>
          <w:szCs w:val="24"/>
        </w:rPr>
        <w:t>Registration</w:t>
      </w:r>
      <w:r w:rsidR="0012038E">
        <w:rPr>
          <w:rFonts w:ascii="Times New Roman" w:eastAsia="Arial Unicode MS" w:hAnsi="Times New Roman" w:cs="Arial Unicode MS"/>
          <w:b/>
          <w:color w:val="0070C0"/>
          <w:kern w:val="3"/>
          <w:sz w:val="24"/>
          <w:szCs w:val="24"/>
        </w:rPr>
        <w:t xml:space="preserve"> &amp; Approval</w:t>
      </w:r>
    </w:p>
    <w:p w14:paraId="669C9DC1" w14:textId="77777777" w:rsidR="000E3C1D" w:rsidRPr="00A332A0" w:rsidRDefault="000E3C1D" w:rsidP="000E3C1D">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After the preliminary prospectus is filed with the SEC, the SEC </w:t>
      </w:r>
      <w:r w:rsidRPr="00916220">
        <w:rPr>
          <w:rFonts w:ascii="Times New Roman" w:eastAsia="Arial Unicode MS" w:hAnsi="Times New Roman" w:cs="Arial Unicode MS"/>
          <w:kern w:val="3"/>
          <w:sz w:val="24"/>
          <w:szCs w:val="24"/>
        </w:rPr>
        <w:t xml:space="preserve">makes an announcement that the registration is effective. </w:t>
      </w:r>
      <w:r>
        <w:rPr>
          <w:rFonts w:ascii="Times New Roman" w:eastAsia="Arial Unicode MS" w:hAnsi="Times New Roman" w:cs="Arial Unicode MS"/>
          <w:kern w:val="3"/>
          <w:sz w:val="24"/>
          <w:szCs w:val="24"/>
        </w:rPr>
        <w:t xml:space="preserve">The SEC will then continue to work with the </w:t>
      </w:r>
      <w:r w:rsidRPr="00916220">
        <w:rPr>
          <w:rFonts w:ascii="Times New Roman" w:eastAsia="Arial Unicode MS" w:hAnsi="Times New Roman" w:cs="Arial Unicode MS"/>
          <w:kern w:val="3"/>
          <w:sz w:val="24"/>
          <w:szCs w:val="24"/>
        </w:rPr>
        <w:t xml:space="preserve">underwriter to gain </w:t>
      </w:r>
      <w:r>
        <w:rPr>
          <w:rFonts w:ascii="Times New Roman" w:eastAsia="Arial Unicode MS" w:hAnsi="Times New Roman" w:cs="Arial Unicode MS"/>
          <w:kern w:val="3"/>
          <w:sz w:val="24"/>
          <w:szCs w:val="24"/>
        </w:rPr>
        <w:t xml:space="preserve">additional </w:t>
      </w:r>
      <w:r w:rsidRPr="00916220">
        <w:rPr>
          <w:rFonts w:ascii="Times New Roman" w:eastAsia="Arial Unicode MS" w:hAnsi="Times New Roman" w:cs="Arial Unicode MS"/>
          <w:kern w:val="3"/>
          <w:sz w:val="24"/>
          <w:szCs w:val="24"/>
        </w:rPr>
        <w:t>supplemental information and make</w:t>
      </w:r>
      <w:r>
        <w:rPr>
          <w:rFonts w:ascii="Times New Roman" w:eastAsia="Arial Unicode MS" w:hAnsi="Times New Roman" w:cs="Arial Unicode MS"/>
          <w:kern w:val="3"/>
          <w:sz w:val="24"/>
          <w:szCs w:val="24"/>
        </w:rPr>
        <w:t xml:space="preserve"> the</w:t>
      </w:r>
      <w:r w:rsidRPr="00916220">
        <w:rPr>
          <w:rFonts w:ascii="Times New Roman" w:eastAsia="Arial Unicode MS" w:hAnsi="Times New Roman" w:cs="Arial Unicode MS"/>
          <w:kern w:val="3"/>
          <w:sz w:val="24"/>
          <w:szCs w:val="24"/>
        </w:rPr>
        <w:t xml:space="preserve"> necessary corrections</w:t>
      </w:r>
      <w:r>
        <w:rPr>
          <w:rFonts w:ascii="Times New Roman" w:eastAsia="Arial Unicode MS" w:hAnsi="Times New Roman" w:cs="Arial Unicode MS"/>
          <w:kern w:val="3"/>
          <w:sz w:val="24"/>
          <w:szCs w:val="24"/>
        </w:rPr>
        <w:t xml:space="preserve"> </w:t>
      </w:r>
      <w:proofErr w:type="gramStart"/>
      <w:r>
        <w:rPr>
          <w:rFonts w:ascii="Times New Roman" w:eastAsia="Arial Unicode MS" w:hAnsi="Times New Roman" w:cs="Arial Unicode MS"/>
          <w:kern w:val="3"/>
          <w:sz w:val="24"/>
          <w:szCs w:val="24"/>
        </w:rPr>
        <w:t>in order</w:t>
      </w:r>
      <w:r w:rsidRPr="00916220">
        <w:rPr>
          <w:rFonts w:ascii="Times New Roman" w:eastAsia="Arial Unicode MS" w:hAnsi="Times New Roman" w:cs="Arial Unicode MS"/>
          <w:kern w:val="3"/>
          <w:sz w:val="24"/>
          <w:szCs w:val="24"/>
        </w:rPr>
        <w:t xml:space="preserve"> for</w:t>
      </w:r>
      <w:proofErr w:type="gramEnd"/>
      <w:r w:rsidRPr="00916220">
        <w:rPr>
          <w:rFonts w:ascii="Times New Roman" w:eastAsia="Arial Unicode MS" w:hAnsi="Times New Roman" w:cs="Arial Unicode MS"/>
          <w:kern w:val="3"/>
          <w:sz w:val="24"/>
          <w:szCs w:val="24"/>
        </w:rPr>
        <w:t xml:space="preserve"> the registration to be approved.</w:t>
      </w:r>
    </w:p>
    <w:p w14:paraId="23BFEE22" w14:textId="77777777" w:rsidR="008C64B0" w:rsidRPr="00A332A0" w:rsidRDefault="008C64B0" w:rsidP="00A332A0">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p>
    <w:p w14:paraId="0B11CA5E" w14:textId="77777777" w:rsidR="0012038E" w:rsidRDefault="0012038E" w:rsidP="0012038E">
      <w:pPr>
        <w:spacing w:after="0" w:line="240" w:lineRule="auto"/>
        <w:jc w:val="both"/>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STEP IV: Marketing the IPO</w:t>
      </w:r>
    </w:p>
    <w:p w14:paraId="3F69951E" w14:textId="77777777" w:rsidR="00BE2FC8" w:rsidRPr="00916220" w:rsidRDefault="00BE2FC8" w:rsidP="00BE2FC8">
      <w:pPr>
        <w:spacing w:after="0" w:line="240" w:lineRule="auto"/>
        <w:jc w:val="both"/>
        <w:rPr>
          <w:rFonts w:ascii="Times New Roman" w:eastAsia="Arial Unicode MS" w:hAnsi="Times New Roman" w:cs="Arial Unicode MS"/>
          <w:b/>
          <w:color w:val="0070C0"/>
          <w:kern w:val="3"/>
          <w:sz w:val="24"/>
          <w:szCs w:val="24"/>
        </w:rPr>
      </w:pPr>
      <w:r w:rsidRPr="00916220">
        <w:rPr>
          <w:rFonts w:ascii="Times New Roman" w:eastAsia="Arial Unicode MS" w:hAnsi="Times New Roman" w:cs="Arial Unicode MS"/>
          <w:kern w:val="3"/>
          <w:sz w:val="24"/>
          <w:szCs w:val="24"/>
        </w:rPr>
        <w:t xml:space="preserve">After </w:t>
      </w:r>
      <w:r>
        <w:rPr>
          <w:rFonts w:ascii="Times New Roman" w:eastAsia="Arial Unicode MS" w:hAnsi="Times New Roman" w:cs="Arial Unicode MS"/>
          <w:kern w:val="3"/>
          <w:sz w:val="24"/>
          <w:szCs w:val="24"/>
        </w:rPr>
        <w:t xml:space="preserve">official </w:t>
      </w:r>
      <w:r w:rsidRPr="00916220">
        <w:rPr>
          <w:rFonts w:ascii="Times New Roman" w:eastAsia="Arial Unicode MS" w:hAnsi="Times New Roman" w:cs="Arial Unicode MS"/>
          <w:kern w:val="3"/>
          <w:sz w:val="24"/>
          <w:szCs w:val="24"/>
        </w:rPr>
        <w:t>approval</w:t>
      </w:r>
      <w:r>
        <w:rPr>
          <w:rFonts w:ascii="Times New Roman" w:eastAsia="Arial Unicode MS" w:hAnsi="Times New Roman" w:cs="Arial Unicode MS"/>
          <w:kern w:val="3"/>
          <w:sz w:val="24"/>
          <w:szCs w:val="24"/>
        </w:rPr>
        <w:t xml:space="preserve"> to solicit interest from the syndicate of investors</w:t>
      </w:r>
      <w:r w:rsidRPr="00916220">
        <w:rPr>
          <w:rFonts w:ascii="Times New Roman" w:eastAsia="Arial Unicode MS" w:hAnsi="Times New Roman" w:cs="Arial Unicode MS"/>
          <w:kern w:val="3"/>
          <w:sz w:val="24"/>
          <w:szCs w:val="24"/>
        </w:rPr>
        <w:t>, the next step in the IPO process involves</w:t>
      </w:r>
      <w:r>
        <w:rPr>
          <w:rFonts w:ascii="Times New Roman" w:eastAsia="Arial Unicode MS" w:hAnsi="Times New Roman" w:cs="Arial Unicode MS"/>
          <w:kern w:val="3"/>
          <w:sz w:val="24"/>
          <w:szCs w:val="24"/>
        </w:rPr>
        <w:t xml:space="preserve"> </w:t>
      </w:r>
      <w:r w:rsidRPr="00916220">
        <w:rPr>
          <w:rFonts w:ascii="Times New Roman" w:eastAsia="Arial Unicode MS" w:hAnsi="Times New Roman" w:cs="Arial Unicode MS"/>
          <w:kern w:val="3"/>
          <w:sz w:val="24"/>
          <w:szCs w:val="24"/>
        </w:rPr>
        <w:t>marketing</w:t>
      </w:r>
      <w:r>
        <w:rPr>
          <w:rFonts w:ascii="Times New Roman" w:eastAsia="Arial Unicode MS" w:hAnsi="Times New Roman" w:cs="Arial Unicode MS"/>
          <w:kern w:val="3"/>
          <w:sz w:val="24"/>
          <w:szCs w:val="24"/>
        </w:rPr>
        <w:t xml:space="preserve"> the shares and expectedly the company</w:t>
      </w:r>
      <w:r w:rsidRPr="00916220">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t xml:space="preserve">to these prospective investors. The marketing involves </w:t>
      </w:r>
      <w:bookmarkStart w:id="16" w:name="_Hlk376253"/>
      <w:r w:rsidRPr="00916220">
        <w:rPr>
          <w:rFonts w:ascii="Times New Roman" w:eastAsia="Arial Unicode MS" w:hAnsi="Times New Roman" w:cs="Arial Unicode MS"/>
          <w:kern w:val="3"/>
          <w:sz w:val="24"/>
          <w:szCs w:val="24"/>
        </w:rPr>
        <w:t xml:space="preserve">presentations and </w:t>
      </w:r>
      <w:r>
        <w:rPr>
          <w:rFonts w:ascii="Times New Roman" w:eastAsia="Arial Unicode MS" w:hAnsi="Times New Roman" w:cs="Arial Unicode MS"/>
          <w:kern w:val="3"/>
          <w:sz w:val="24"/>
          <w:szCs w:val="24"/>
        </w:rPr>
        <w:t xml:space="preserve">various </w:t>
      </w:r>
      <w:r w:rsidRPr="00916220">
        <w:rPr>
          <w:rFonts w:ascii="Times New Roman" w:eastAsia="Arial Unicode MS" w:hAnsi="Times New Roman" w:cs="Arial Unicode MS"/>
          <w:kern w:val="3"/>
          <w:sz w:val="24"/>
          <w:szCs w:val="24"/>
        </w:rPr>
        <w:t xml:space="preserve">pitches </w:t>
      </w:r>
      <w:r>
        <w:rPr>
          <w:rFonts w:ascii="Times New Roman" w:eastAsia="Arial Unicode MS" w:hAnsi="Times New Roman" w:cs="Arial Unicode MS"/>
          <w:kern w:val="3"/>
          <w:sz w:val="24"/>
          <w:szCs w:val="24"/>
        </w:rPr>
        <w:t xml:space="preserve">that are sent to </w:t>
      </w:r>
      <w:r w:rsidRPr="00916220">
        <w:rPr>
          <w:rFonts w:ascii="Times New Roman" w:eastAsia="Arial Unicode MS" w:hAnsi="Times New Roman" w:cs="Arial Unicode MS"/>
          <w:kern w:val="3"/>
          <w:sz w:val="24"/>
          <w:szCs w:val="24"/>
        </w:rPr>
        <w:t xml:space="preserve">large </w:t>
      </w:r>
      <w:r>
        <w:rPr>
          <w:rFonts w:ascii="Times New Roman" w:eastAsia="Arial Unicode MS" w:hAnsi="Times New Roman" w:cs="Arial Unicode MS"/>
          <w:kern w:val="3"/>
          <w:sz w:val="24"/>
          <w:szCs w:val="24"/>
        </w:rPr>
        <w:t>scale</w:t>
      </w:r>
      <w:r w:rsidRPr="00916220">
        <w:rPr>
          <w:rFonts w:ascii="Times New Roman" w:eastAsia="Arial Unicode MS" w:hAnsi="Times New Roman" w:cs="Arial Unicode MS"/>
          <w:kern w:val="3"/>
          <w:sz w:val="24"/>
          <w:szCs w:val="24"/>
        </w:rPr>
        <w:t xml:space="preserve"> investors such as financial institutions and corporations.</w:t>
      </w:r>
      <w:bookmarkEnd w:id="16"/>
    </w:p>
    <w:p w14:paraId="002E2CD2" w14:textId="77777777" w:rsidR="0012038E" w:rsidRDefault="0012038E" w:rsidP="00A332A0">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p>
    <w:p w14:paraId="7D4C521C" w14:textId="3EB03599" w:rsidR="0012038E" w:rsidRDefault="0012038E" w:rsidP="0012038E">
      <w:pPr>
        <w:spacing w:after="0" w:line="240" w:lineRule="auto"/>
        <w:jc w:val="both"/>
        <w:rPr>
          <w:rFonts w:ascii="Times New Roman" w:eastAsia="Arial Unicode MS" w:hAnsi="Times New Roman" w:cs="Arial Unicode MS"/>
          <w:b/>
          <w:color w:val="0070C0"/>
          <w:kern w:val="3"/>
          <w:sz w:val="24"/>
          <w:szCs w:val="24"/>
        </w:rPr>
      </w:pPr>
      <w:bookmarkStart w:id="17" w:name="_Hlk536518475"/>
      <w:r>
        <w:rPr>
          <w:rFonts w:ascii="Times New Roman" w:eastAsia="Arial Unicode MS" w:hAnsi="Times New Roman" w:cs="Arial Unicode MS"/>
          <w:b/>
          <w:color w:val="0070C0"/>
          <w:kern w:val="3"/>
          <w:sz w:val="24"/>
          <w:szCs w:val="24"/>
        </w:rPr>
        <w:t>STEP V: Indication of Interest</w:t>
      </w:r>
      <w:bookmarkEnd w:id="17"/>
    </w:p>
    <w:p w14:paraId="3CCB8041" w14:textId="77777777" w:rsidR="00992F99" w:rsidRPr="00916220" w:rsidRDefault="00992F99" w:rsidP="00992F99">
      <w:pPr>
        <w:spacing w:after="0" w:line="240" w:lineRule="auto"/>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Based on supply and demand t</w:t>
      </w:r>
      <w:r w:rsidRPr="00916220">
        <w:rPr>
          <w:rFonts w:ascii="Times New Roman" w:eastAsia="Arial Unicode MS" w:hAnsi="Times New Roman" w:cs="Arial Unicode MS"/>
          <w:kern w:val="3"/>
          <w:sz w:val="24"/>
          <w:szCs w:val="24"/>
        </w:rPr>
        <w:t xml:space="preserve">he underwriter determines a market price </w:t>
      </w:r>
      <w:r>
        <w:rPr>
          <w:rFonts w:ascii="Times New Roman" w:eastAsia="Arial Unicode MS" w:hAnsi="Times New Roman" w:cs="Arial Unicode MS"/>
          <w:kern w:val="3"/>
          <w:sz w:val="24"/>
          <w:szCs w:val="24"/>
        </w:rPr>
        <w:t>for the</w:t>
      </w:r>
      <w:r w:rsidRPr="00916220">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t>IPO stock</w:t>
      </w:r>
      <w:r w:rsidRPr="00916220">
        <w:rPr>
          <w:rFonts w:ascii="Times New Roman" w:eastAsia="Arial Unicode MS" w:hAnsi="Times New Roman" w:cs="Arial Unicode MS"/>
          <w:kern w:val="3"/>
          <w:sz w:val="24"/>
          <w:szCs w:val="24"/>
        </w:rPr>
        <w:t xml:space="preserve">, the number of initial shares </w:t>
      </w:r>
      <w:r>
        <w:rPr>
          <w:rFonts w:ascii="Times New Roman" w:eastAsia="Arial Unicode MS" w:hAnsi="Times New Roman" w:cs="Arial Unicode MS"/>
          <w:kern w:val="3"/>
          <w:sz w:val="24"/>
          <w:szCs w:val="24"/>
        </w:rPr>
        <w:t>being</w:t>
      </w:r>
      <w:r w:rsidRPr="00916220">
        <w:rPr>
          <w:rFonts w:ascii="Times New Roman" w:eastAsia="Arial Unicode MS" w:hAnsi="Times New Roman" w:cs="Arial Unicode MS"/>
          <w:kern w:val="3"/>
          <w:sz w:val="24"/>
          <w:szCs w:val="24"/>
        </w:rPr>
        <w:t xml:space="preserve"> offered, and </w:t>
      </w:r>
      <w:r>
        <w:rPr>
          <w:rFonts w:ascii="Times New Roman" w:eastAsia="Arial Unicode MS" w:hAnsi="Times New Roman" w:cs="Arial Unicode MS"/>
          <w:kern w:val="3"/>
          <w:sz w:val="24"/>
          <w:szCs w:val="24"/>
        </w:rPr>
        <w:t xml:space="preserve">the </w:t>
      </w:r>
      <w:r w:rsidRPr="00916220">
        <w:rPr>
          <w:rFonts w:ascii="Times New Roman" w:eastAsia="Arial Unicode MS" w:hAnsi="Times New Roman" w:cs="Arial Unicode MS"/>
          <w:kern w:val="3"/>
          <w:sz w:val="24"/>
          <w:szCs w:val="24"/>
        </w:rPr>
        <w:t xml:space="preserve">date open trading will begin. </w:t>
      </w:r>
      <w:r>
        <w:rPr>
          <w:rFonts w:ascii="Times New Roman" w:eastAsia="Arial Unicode MS" w:hAnsi="Times New Roman" w:cs="Arial Unicode MS"/>
          <w:kern w:val="3"/>
          <w:sz w:val="24"/>
          <w:szCs w:val="24"/>
        </w:rPr>
        <w:t>Additional d</w:t>
      </w:r>
      <w:r w:rsidRPr="00916220">
        <w:rPr>
          <w:rFonts w:ascii="Times New Roman" w:eastAsia="Arial Unicode MS" w:hAnsi="Times New Roman" w:cs="Arial Unicode MS"/>
          <w:kern w:val="3"/>
          <w:sz w:val="24"/>
          <w:szCs w:val="24"/>
        </w:rPr>
        <w:t xml:space="preserve">etails </w:t>
      </w:r>
      <w:r>
        <w:rPr>
          <w:rFonts w:ascii="Times New Roman" w:eastAsia="Arial Unicode MS" w:hAnsi="Times New Roman" w:cs="Arial Unicode MS"/>
          <w:kern w:val="3"/>
          <w:sz w:val="24"/>
          <w:szCs w:val="24"/>
        </w:rPr>
        <w:t xml:space="preserve">including the </w:t>
      </w:r>
      <w:r w:rsidRPr="00916220">
        <w:rPr>
          <w:rFonts w:ascii="Times New Roman" w:eastAsia="Arial Unicode MS" w:hAnsi="Times New Roman" w:cs="Arial Unicode MS"/>
          <w:kern w:val="3"/>
          <w:sz w:val="24"/>
          <w:szCs w:val="24"/>
        </w:rPr>
        <w:t>number of</w:t>
      </w:r>
      <w:r>
        <w:rPr>
          <w:rFonts w:ascii="Times New Roman" w:eastAsia="Arial Unicode MS" w:hAnsi="Times New Roman" w:cs="Arial Unicode MS"/>
          <w:kern w:val="3"/>
          <w:sz w:val="24"/>
          <w:szCs w:val="24"/>
        </w:rPr>
        <w:t xml:space="preserve"> </w:t>
      </w:r>
      <w:r w:rsidRPr="00916220">
        <w:rPr>
          <w:rFonts w:ascii="Times New Roman" w:eastAsia="Arial Unicode MS" w:hAnsi="Times New Roman" w:cs="Arial Unicode MS"/>
          <w:kern w:val="3"/>
          <w:sz w:val="24"/>
          <w:szCs w:val="24"/>
        </w:rPr>
        <w:t xml:space="preserve">initial </w:t>
      </w:r>
      <w:r>
        <w:rPr>
          <w:rFonts w:ascii="Times New Roman" w:eastAsia="Arial Unicode MS" w:hAnsi="Times New Roman" w:cs="Arial Unicode MS"/>
          <w:kern w:val="3"/>
          <w:sz w:val="24"/>
          <w:szCs w:val="24"/>
        </w:rPr>
        <w:t xml:space="preserve">institutional </w:t>
      </w:r>
      <w:r w:rsidRPr="00916220">
        <w:rPr>
          <w:rFonts w:ascii="Times New Roman" w:eastAsia="Arial Unicode MS" w:hAnsi="Times New Roman" w:cs="Arial Unicode MS"/>
          <w:kern w:val="3"/>
          <w:sz w:val="24"/>
          <w:szCs w:val="24"/>
        </w:rPr>
        <w:t xml:space="preserve">investors, </w:t>
      </w:r>
      <w:r>
        <w:rPr>
          <w:rFonts w:ascii="Times New Roman" w:eastAsia="Arial Unicode MS" w:hAnsi="Times New Roman" w:cs="Arial Unicode MS"/>
          <w:kern w:val="3"/>
          <w:sz w:val="24"/>
          <w:szCs w:val="24"/>
        </w:rPr>
        <w:t xml:space="preserve">any </w:t>
      </w:r>
      <w:r w:rsidRPr="00916220">
        <w:rPr>
          <w:rFonts w:ascii="Times New Roman" w:eastAsia="Arial Unicode MS" w:hAnsi="Times New Roman" w:cs="Arial Unicode MS"/>
          <w:kern w:val="3"/>
          <w:sz w:val="24"/>
          <w:szCs w:val="24"/>
        </w:rPr>
        <w:t xml:space="preserve">price discounts, and </w:t>
      </w:r>
      <w:r>
        <w:rPr>
          <w:rFonts w:ascii="Times New Roman" w:eastAsia="Arial Unicode MS" w:hAnsi="Times New Roman" w:cs="Arial Unicode MS"/>
          <w:kern w:val="3"/>
          <w:sz w:val="24"/>
          <w:szCs w:val="24"/>
        </w:rPr>
        <w:t xml:space="preserve">modified </w:t>
      </w:r>
      <w:r w:rsidRPr="00916220">
        <w:rPr>
          <w:rFonts w:ascii="Times New Roman" w:eastAsia="Arial Unicode MS" w:hAnsi="Times New Roman" w:cs="Arial Unicode MS"/>
          <w:kern w:val="3"/>
          <w:sz w:val="24"/>
          <w:szCs w:val="24"/>
        </w:rPr>
        <w:t>market price</w:t>
      </w:r>
      <w:r>
        <w:rPr>
          <w:rFonts w:ascii="Times New Roman" w:eastAsia="Arial Unicode MS" w:hAnsi="Times New Roman" w:cs="Arial Unicode MS"/>
          <w:kern w:val="3"/>
          <w:sz w:val="24"/>
          <w:szCs w:val="24"/>
        </w:rPr>
        <w:t>s</w:t>
      </w:r>
      <w:r w:rsidRPr="00916220">
        <w:rPr>
          <w:rFonts w:ascii="Times New Roman" w:eastAsia="Arial Unicode MS" w:hAnsi="Times New Roman" w:cs="Arial Unicode MS"/>
          <w:kern w:val="3"/>
          <w:sz w:val="24"/>
          <w:szCs w:val="24"/>
        </w:rPr>
        <w:t xml:space="preserve"> are filed as an amendment to the original registration.</w:t>
      </w:r>
    </w:p>
    <w:p w14:paraId="66041A4C" w14:textId="77777777" w:rsidR="00992F99" w:rsidRDefault="00992F99" w:rsidP="00992F99">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p>
    <w:p w14:paraId="4671C9E6" w14:textId="77777777" w:rsidR="00992F99" w:rsidRPr="00A332A0" w:rsidRDefault="00992F99" w:rsidP="00992F99">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b/>
          <w:color w:val="0070C0"/>
          <w:kern w:val="3"/>
          <w:sz w:val="24"/>
          <w:szCs w:val="24"/>
        </w:rPr>
        <w:t>STEP VI: Closing, Funding and Free to Trade</w:t>
      </w:r>
    </w:p>
    <w:p w14:paraId="165B52CD" w14:textId="1CE68E36" w:rsidR="00992F99" w:rsidRPr="00916220" w:rsidRDefault="00992F99" w:rsidP="00992F99">
      <w:pPr>
        <w:spacing w:after="270" w:line="240" w:lineRule="auto"/>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The underwriter then announces the price and determines that the </w:t>
      </w:r>
      <w:r w:rsidRPr="00916220">
        <w:rPr>
          <w:rFonts w:ascii="Times New Roman" w:eastAsia="Arial Unicode MS" w:hAnsi="Times New Roman" w:cs="Arial Unicode MS"/>
          <w:kern w:val="3"/>
          <w:sz w:val="24"/>
          <w:szCs w:val="24"/>
        </w:rPr>
        <w:t xml:space="preserve">trade </w:t>
      </w:r>
      <w:r>
        <w:rPr>
          <w:rFonts w:ascii="Times New Roman" w:eastAsia="Arial Unicode MS" w:hAnsi="Times New Roman" w:cs="Arial Unicode MS"/>
          <w:kern w:val="3"/>
          <w:sz w:val="24"/>
          <w:szCs w:val="24"/>
        </w:rPr>
        <w:t>process has been</w:t>
      </w:r>
      <w:r w:rsidRPr="00916220">
        <w:rPr>
          <w:rFonts w:ascii="Times New Roman" w:eastAsia="Arial Unicode MS" w:hAnsi="Times New Roman" w:cs="Arial Unicode MS"/>
          <w:kern w:val="3"/>
          <w:sz w:val="24"/>
          <w:szCs w:val="24"/>
        </w:rPr>
        <w:t xml:space="preserve"> established</w:t>
      </w:r>
      <w:r>
        <w:rPr>
          <w:rFonts w:ascii="Times New Roman" w:eastAsia="Arial Unicode MS" w:hAnsi="Times New Roman" w:cs="Arial Unicode MS"/>
          <w:kern w:val="3"/>
          <w:sz w:val="24"/>
          <w:szCs w:val="24"/>
        </w:rPr>
        <w:t>. I</w:t>
      </w:r>
      <w:r w:rsidRPr="00916220">
        <w:rPr>
          <w:rFonts w:ascii="Times New Roman" w:eastAsia="Arial Unicode MS" w:hAnsi="Times New Roman" w:cs="Arial Unicode MS"/>
          <w:kern w:val="3"/>
          <w:sz w:val="24"/>
          <w:szCs w:val="24"/>
        </w:rPr>
        <w:t xml:space="preserve">t </w:t>
      </w:r>
      <w:bookmarkStart w:id="18" w:name="_Hlk376911"/>
      <w:r w:rsidRPr="00916220">
        <w:rPr>
          <w:rFonts w:ascii="Times New Roman" w:eastAsia="Arial Unicode MS" w:hAnsi="Times New Roman" w:cs="Arial Unicode MS"/>
          <w:kern w:val="3"/>
          <w:sz w:val="24"/>
          <w:szCs w:val="24"/>
        </w:rPr>
        <w:t>takes approximately three days</w:t>
      </w:r>
      <w:r>
        <w:rPr>
          <w:rFonts w:ascii="Times New Roman" w:eastAsia="Arial Unicode MS" w:hAnsi="Times New Roman" w:cs="Arial Unicode MS"/>
          <w:kern w:val="3"/>
          <w:sz w:val="24"/>
          <w:szCs w:val="24"/>
        </w:rPr>
        <w:t xml:space="preserve"> (T+3) </w:t>
      </w:r>
      <w:r w:rsidRPr="00916220">
        <w:rPr>
          <w:rFonts w:ascii="Times New Roman" w:eastAsia="Arial Unicode MS" w:hAnsi="Times New Roman" w:cs="Arial Unicode MS"/>
          <w:kern w:val="3"/>
          <w:sz w:val="24"/>
          <w:szCs w:val="24"/>
        </w:rPr>
        <w:t xml:space="preserve">for the IPO exchange to </w:t>
      </w:r>
      <w:r>
        <w:rPr>
          <w:rFonts w:ascii="Times New Roman" w:eastAsia="Arial Unicode MS" w:hAnsi="Times New Roman" w:cs="Arial Unicode MS"/>
          <w:kern w:val="3"/>
          <w:sz w:val="24"/>
          <w:szCs w:val="24"/>
        </w:rPr>
        <w:t>close</w:t>
      </w:r>
      <w:r w:rsidRPr="00916220">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t xml:space="preserve">The </w:t>
      </w:r>
      <w:r w:rsidRPr="00916220">
        <w:rPr>
          <w:rFonts w:ascii="Times New Roman" w:eastAsia="Arial Unicode MS" w:hAnsi="Times New Roman" w:cs="Arial Unicode MS"/>
          <w:kern w:val="3"/>
          <w:sz w:val="24"/>
          <w:szCs w:val="24"/>
        </w:rPr>
        <w:t xml:space="preserve">stock is </w:t>
      </w:r>
      <w:r>
        <w:rPr>
          <w:rFonts w:ascii="Times New Roman" w:eastAsia="Arial Unicode MS" w:hAnsi="Times New Roman" w:cs="Arial Unicode MS"/>
          <w:kern w:val="3"/>
          <w:sz w:val="24"/>
          <w:szCs w:val="24"/>
        </w:rPr>
        <w:t xml:space="preserve">then </w:t>
      </w:r>
      <w:r w:rsidR="00545D7C" w:rsidRPr="00916220">
        <w:rPr>
          <w:rFonts w:ascii="Times New Roman" w:eastAsia="Arial Unicode MS" w:hAnsi="Times New Roman" w:cs="Arial Unicode MS"/>
          <w:kern w:val="3"/>
          <w:sz w:val="24"/>
          <w:szCs w:val="24"/>
        </w:rPr>
        <w:t>delivered,</w:t>
      </w:r>
      <w:r w:rsidRPr="00916220">
        <w:rPr>
          <w:rFonts w:ascii="Times New Roman" w:eastAsia="Arial Unicode MS" w:hAnsi="Times New Roman" w:cs="Arial Unicode MS"/>
          <w:kern w:val="3"/>
          <w:sz w:val="24"/>
          <w:szCs w:val="24"/>
        </w:rPr>
        <w:t xml:space="preserve"> and the company receives the </w:t>
      </w:r>
      <w:r>
        <w:rPr>
          <w:rFonts w:ascii="Times New Roman" w:eastAsia="Arial Unicode MS" w:hAnsi="Times New Roman" w:cs="Arial Unicode MS"/>
          <w:kern w:val="3"/>
          <w:sz w:val="24"/>
          <w:szCs w:val="24"/>
        </w:rPr>
        <w:t xml:space="preserve">proceeds (net of underwriting fees) </w:t>
      </w:r>
      <w:r w:rsidRPr="00916220">
        <w:rPr>
          <w:rFonts w:ascii="Times New Roman" w:eastAsia="Arial Unicode MS" w:hAnsi="Times New Roman" w:cs="Arial Unicode MS"/>
          <w:kern w:val="3"/>
          <w:sz w:val="24"/>
          <w:szCs w:val="24"/>
        </w:rPr>
        <w:t xml:space="preserve">from its sale. </w:t>
      </w:r>
      <w:r>
        <w:rPr>
          <w:rFonts w:ascii="Times New Roman" w:eastAsia="Arial Unicode MS" w:hAnsi="Times New Roman" w:cs="Arial Unicode MS"/>
          <w:kern w:val="3"/>
          <w:sz w:val="24"/>
          <w:szCs w:val="24"/>
        </w:rPr>
        <w:t>The</w:t>
      </w:r>
      <w:r w:rsidRPr="00916220">
        <w:rPr>
          <w:rFonts w:ascii="Times New Roman" w:eastAsia="Arial Unicode MS" w:hAnsi="Times New Roman" w:cs="Arial Unicode MS"/>
          <w:kern w:val="3"/>
          <w:sz w:val="24"/>
          <w:szCs w:val="24"/>
        </w:rPr>
        <w:t xml:space="preserve"> </w:t>
      </w:r>
      <w:r w:rsidRPr="00916220">
        <w:rPr>
          <w:rFonts w:ascii="Times New Roman" w:eastAsia="Arial Unicode MS" w:hAnsi="Times New Roman" w:cs="Arial Unicode MS"/>
          <w:kern w:val="3"/>
          <w:sz w:val="24"/>
          <w:szCs w:val="24"/>
        </w:rPr>
        <w:lastRenderedPageBreak/>
        <w:t>underwriter</w:t>
      </w:r>
      <w:r>
        <w:rPr>
          <w:rFonts w:ascii="Times New Roman" w:eastAsia="Arial Unicode MS" w:hAnsi="Times New Roman" w:cs="Arial Unicode MS"/>
          <w:kern w:val="3"/>
          <w:sz w:val="24"/>
          <w:szCs w:val="24"/>
        </w:rPr>
        <w:t xml:space="preserve">’s obligation is to </w:t>
      </w:r>
      <w:r w:rsidRPr="00916220">
        <w:rPr>
          <w:rFonts w:ascii="Times New Roman" w:eastAsia="Arial Unicode MS" w:hAnsi="Times New Roman" w:cs="Arial Unicode MS"/>
          <w:kern w:val="3"/>
          <w:sz w:val="24"/>
          <w:szCs w:val="24"/>
        </w:rPr>
        <w:t xml:space="preserve">monitor the stock's price for a few months </w:t>
      </w:r>
      <w:r>
        <w:rPr>
          <w:rFonts w:ascii="Times New Roman" w:eastAsia="Arial Unicode MS" w:hAnsi="Times New Roman" w:cs="Arial Unicode MS"/>
          <w:kern w:val="3"/>
          <w:sz w:val="24"/>
          <w:szCs w:val="24"/>
        </w:rPr>
        <w:t>post-IPO</w:t>
      </w:r>
      <w:r w:rsidRPr="00916220">
        <w:rPr>
          <w:rFonts w:ascii="Times New Roman" w:eastAsia="Arial Unicode MS" w:hAnsi="Times New Roman" w:cs="Arial Unicode MS"/>
          <w:kern w:val="3"/>
          <w:sz w:val="24"/>
          <w:szCs w:val="24"/>
        </w:rPr>
        <w:t xml:space="preserve"> and exercises the right to purchase or sell shares to </w:t>
      </w:r>
      <w:r>
        <w:rPr>
          <w:rFonts w:ascii="Times New Roman" w:eastAsia="Arial Unicode MS" w:hAnsi="Times New Roman" w:cs="Arial Unicode MS"/>
          <w:kern w:val="3"/>
          <w:sz w:val="24"/>
          <w:szCs w:val="24"/>
        </w:rPr>
        <w:t xml:space="preserve">make sure the stock </w:t>
      </w:r>
      <w:r w:rsidRPr="00916220">
        <w:rPr>
          <w:rFonts w:ascii="Times New Roman" w:eastAsia="Arial Unicode MS" w:hAnsi="Times New Roman" w:cs="Arial Unicode MS"/>
          <w:kern w:val="3"/>
          <w:sz w:val="24"/>
          <w:szCs w:val="24"/>
        </w:rPr>
        <w:t>stabilize</w:t>
      </w:r>
      <w:r>
        <w:rPr>
          <w:rFonts w:ascii="Times New Roman" w:eastAsia="Arial Unicode MS" w:hAnsi="Times New Roman" w:cs="Arial Unicode MS"/>
          <w:kern w:val="3"/>
          <w:sz w:val="24"/>
          <w:szCs w:val="24"/>
        </w:rPr>
        <w:t>s</w:t>
      </w:r>
      <w:r w:rsidRPr="00916220">
        <w:rPr>
          <w:rFonts w:ascii="Times New Roman" w:eastAsia="Arial Unicode MS" w:hAnsi="Times New Roman" w:cs="Arial Unicode MS"/>
          <w:kern w:val="3"/>
          <w:sz w:val="24"/>
          <w:szCs w:val="24"/>
        </w:rPr>
        <w:t>.</w:t>
      </w:r>
      <w:bookmarkEnd w:id="18"/>
    </w:p>
    <w:p w14:paraId="48843892" w14:textId="77777777" w:rsidR="00992F99" w:rsidRDefault="00992F99" w:rsidP="00992F99">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137B186D" w14:textId="77777777" w:rsidR="00992F99" w:rsidRPr="007F3578" w:rsidRDefault="00992F99" w:rsidP="00992F99">
      <w:pPr>
        <w:widowControl w:val="0"/>
        <w:suppressAutoHyphens/>
        <w:autoSpaceDN w:val="0"/>
        <w:spacing w:after="0" w:line="240" w:lineRule="auto"/>
        <w:jc w:val="both"/>
        <w:textAlignment w:val="baseline"/>
        <w:rPr>
          <w:rFonts w:ascii="Times New Roman" w:eastAsia="Arial Unicode MS" w:hAnsi="Times New Roman" w:cs="Arial Unicode MS"/>
          <w:b/>
          <w:kern w:val="3"/>
          <w:sz w:val="24"/>
          <w:szCs w:val="24"/>
        </w:rPr>
      </w:pPr>
      <w:r w:rsidRPr="007F3578">
        <w:rPr>
          <w:rFonts w:ascii="Times New Roman" w:eastAsia="Arial Unicode MS" w:hAnsi="Times New Roman" w:cs="Arial Unicode MS"/>
          <w:b/>
          <w:kern w:val="3"/>
          <w:sz w:val="24"/>
          <w:szCs w:val="24"/>
        </w:rPr>
        <w:t>Types of Underwriting Commitments</w:t>
      </w:r>
    </w:p>
    <w:p w14:paraId="7464C9D6" w14:textId="77777777" w:rsidR="00992F99" w:rsidRDefault="00992F99" w:rsidP="00992F99">
      <w:pPr>
        <w:rPr>
          <w:rFonts w:ascii="Times New Roman" w:eastAsia="Arial Unicode MS" w:hAnsi="Times New Roman" w:cs="Arial Unicode MS"/>
          <w:kern w:val="3"/>
          <w:sz w:val="24"/>
          <w:szCs w:val="24"/>
        </w:rPr>
      </w:pPr>
      <w:r w:rsidRPr="007F3578">
        <w:rPr>
          <w:rFonts w:ascii="Times New Roman" w:eastAsia="Arial Unicode MS" w:hAnsi="Times New Roman" w:cs="Arial Unicode MS"/>
          <w:kern w:val="3"/>
          <w:sz w:val="24"/>
          <w:szCs w:val="24"/>
        </w:rPr>
        <w:t>The</w:t>
      </w:r>
      <w:r>
        <w:rPr>
          <w:rFonts w:ascii="Times New Roman" w:eastAsia="Arial Unicode MS" w:hAnsi="Times New Roman" w:cs="Arial Unicode MS"/>
          <w:kern w:val="3"/>
          <w:sz w:val="24"/>
          <w:szCs w:val="24"/>
        </w:rPr>
        <w:t>re</w:t>
      </w:r>
      <w:r w:rsidRPr="007F3578">
        <w:rPr>
          <w:rFonts w:ascii="Times New Roman" w:eastAsia="Arial Unicode MS" w:hAnsi="Times New Roman" w:cs="Arial Unicode MS"/>
          <w:kern w:val="3"/>
          <w:sz w:val="24"/>
          <w:szCs w:val="24"/>
        </w:rPr>
        <w:t xml:space="preserve"> are two types of </w:t>
      </w:r>
      <w:r>
        <w:rPr>
          <w:rFonts w:ascii="Times New Roman" w:eastAsia="Arial Unicode MS" w:hAnsi="Times New Roman" w:cs="Arial Unicode MS"/>
          <w:kern w:val="3"/>
          <w:sz w:val="24"/>
          <w:szCs w:val="24"/>
        </w:rPr>
        <w:t xml:space="preserve">underwriting </w:t>
      </w:r>
      <w:r w:rsidRPr="007F3578">
        <w:rPr>
          <w:rFonts w:ascii="Times New Roman" w:eastAsia="Arial Unicode MS" w:hAnsi="Times New Roman" w:cs="Arial Unicode MS"/>
          <w:kern w:val="3"/>
          <w:sz w:val="24"/>
          <w:szCs w:val="24"/>
        </w:rPr>
        <w:t xml:space="preserve">commitments </w:t>
      </w:r>
      <w:r>
        <w:rPr>
          <w:rFonts w:ascii="Times New Roman" w:eastAsia="Arial Unicode MS" w:hAnsi="Times New Roman" w:cs="Arial Unicode MS"/>
          <w:kern w:val="3"/>
          <w:sz w:val="24"/>
          <w:szCs w:val="24"/>
        </w:rPr>
        <w:t>related to</w:t>
      </w:r>
      <w:r w:rsidRPr="007F3578">
        <w:rPr>
          <w:rFonts w:ascii="Times New Roman" w:eastAsia="Arial Unicode MS" w:hAnsi="Times New Roman" w:cs="Arial Unicode MS"/>
          <w:kern w:val="3"/>
          <w:sz w:val="24"/>
          <w:szCs w:val="24"/>
        </w:rPr>
        <w:t xml:space="preserve"> the stock in an IPO: Firm Commitment and Best Effort Comm</w:t>
      </w:r>
      <w:r>
        <w:rPr>
          <w:rFonts w:ascii="Times New Roman" w:eastAsia="Arial Unicode MS" w:hAnsi="Times New Roman" w:cs="Arial Unicode MS"/>
          <w:kern w:val="3"/>
          <w:sz w:val="24"/>
          <w:szCs w:val="24"/>
        </w:rPr>
        <w:t>i</w:t>
      </w:r>
      <w:r w:rsidRPr="007F3578">
        <w:rPr>
          <w:rFonts w:ascii="Times New Roman" w:eastAsia="Arial Unicode MS" w:hAnsi="Times New Roman" w:cs="Arial Unicode MS"/>
          <w:kern w:val="3"/>
          <w:sz w:val="24"/>
          <w:szCs w:val="24"/>
        </w:rPr>
        <w:t>tment</w:t>
      </w:r>
      <w:r>
        <w:rPr>
          <w:rFonts w:ascii="Times New Roman" w:eastAsia="Arial Unicode MS" w:hAnsi="Times New Roman" w:cs="Arial Unicode MS"/>
          <w:kern w:val="3"/>
          <w:sz w:val="24"/>
          <w:szCs w:val="24"/>
        </w:rPr>
        <w:t>.</w:t>
      </w:r>
    </w:p>
    <w:p w14:paraId="6E5A1FF7" w14:textId="77777777" w:rsidR="008719ED" w:rsidRPr="00685CF9" w:rsidRDefault="007F3578" w:rsidP="008719ED">
      <w:pPr>
        <w:rPr>
          <w:rFonts w:ascii="Times New Roman" w:eastAsia="Arial Unicode MS" w:hAnsi="Times New Roman" w:cs="Arial Unicode MS"/>
          <w:b/>
          <w:kern w:val="3"/>
          <w:sz w:val="24"/>
          <w:szCs w:val="24"/>
          <w:u w:val="single"/>
        </w:rPr>
      </w:pPr>
      <w:r w:rsidRPr="007F3578">
        <w:rPr>
          <w:rFonts w:ascii="Times New Roman" w:eastAsia="Arial Unicode MS" w:hAnsi="Times New Roman" w:cs="Arial Unicode MS"/>
          <w:kern w:val="3"/>
          <w:sz w:val="24"/>
          <w:szCs w:val="24"/>
        </w:rPr>
        <w:t xml:space="preserve"> </w:t>
      </w:r>
      <w:r w:rsidR="008719ED">
        <w:rPr>
          <w:rFonts w:ascii="Times New Roman" w:eastAsia="Arial Unicode MS" w:hAnsi="Times New Roman" w:cs="Arial Unicode MS"/>
          <w:b/>
          <w:kern w:val="3"/>
          <w:sz w:val="24"/>
          <w:szCs w:val="24"/>
          <w:u w:val="single"/>
        </w:rPr>
        <w:t>Firm Commitment</w:t>
      </w:r>
    </w:p>
    <w:p w14:paraId="77F77FE3" w14:textId="77777777" w:rsidR="00046206" w:rsidRDefault="00046206" w:rsidP="00046206">
      <w:pPr>
        <w:jc w:val="both"/>
        <w:rPr>
          <w:rFonts w:ascii="Times New Roman" w:eastAsia="Arial Unicode MS" w:hAnsi="Times New Roman" w:cs="Arial Unicode MS"/>
          <w:kern w:val="3"/>
          <w:sz w:val="24"/>
          <w:szCs w:val="24"/>
        </w:rPr>
      </w:pPr>
      <w:r w:rsidRPr="00643C3E">
        <w:rPr>
          <w:rFonts w:ascii="Times New Roman" w:eastAsia="Arial Unicode MS" w:hAnsi="Times New Roman" w:cs="Arial Unicode MS"/>
          <w:b/>
          <w:kern w:val="3"/>
          <w:sz w:val="24"/>
          <w:szCs w:val="24"/>
        </w:rPr>
        <w:t xml:space="preserve">A firm commitment is a commitment from the underwriters </w:t>
      </w:r>
      <w:bookmarkStart w:id="19" w:name="_Hlk377100"/>
      <w:r w:rsidRPr="00643C3E">
        <w:rPr>
          <w:rFonts w:ascii="Times New Roman" w:eastAsia="Arial Unicode MS" w:hAnsi="Times New Roman" w:cs="Arial Unicode MS"/>
          <w:b/>
          <w:kern w:val="3"/>
          <w:sz w:val="24"/>
          <w:szCs w:val="24"/>
        </w:rPr>
        <w:t>that enables them to purchase all the shares that are offered in an IPO.</w:t>
      </w:r>
      <w:r>
        <w:rPr>
          <w:rFonts w:ascii="Times New Roman" w:eastAsia="Arial Unicode MS" w:hAnsi="Times New Roman" w:cs="Arial Unicode MS"/>
          <w:kern w:val="3"/>
          <w:sz w:val="24"/>
          <w:szCs w:val="24"/>
        </w:rPr>
        <w:t xml:space="preserve"> </w:t>
      </w:r>
      <w:bookmarkStart w:id="20" w:name="_Hlk377131"/>
      <w:bookmarkEnd w:id="19"/>
      <w:r>
        <w:rPr>
          <w:rFonts w:ascii="Times New Roman" w:eastAsia="Arial Unicode MS" w:hAnsi="Times New Roman" w:cs="Arial Unicode MS"/>
          <w:kern w:val="3"/>
          <w:sz w:val="24"/>
          <w:szCs w:val="24"/>
        </w:rPr>
        <w:t xml:space="preserve">The lead underwriter (referred to as “left lead” or “book-runner”) is responsible to sell, through the syndicate (the other committed underwriters), all the shares to interested institutional and retail investors. </w:t>
      </w:r>
      <w:bookmarkEnd w:id="20"/>
      <w:r>
        <w:rPr>
          <w:rFonts w:ascii="Times New Roman" w:eastAsia="Arial Unicode MS" w:hAnsi="Times New Roman" w:cs="Arial Unicode MS"/>
          <w:kern w:val="3"/>
          <w:sz w:val="24"/>
          <w:szCs w:val="24"/>
        </w:rPr>
        <w:t>If there is not enough demand to sell all the shares after the price is set, any unsold shares are to be distributed among the syndicate. Sometimes the agreement between the company and the underwriters include</w:t>
      </w:r>
      <w:bookmarkStart w:id="21" w:name="_Hlk377235"/>
      <w:r>
        <w:rPr>
          <w:rFonts w:ascii="Times New Roman" w:eastAsia="Arial Unicode MS" w:hAnsi="Times New Roman" w:cs="Arial Unicode MS"/>
          <w:kern w:val="3"/>
          <w:sz w:val="24"/>
          <w:szCs w:val="24"/>
        </w:rPr>
        <w:t>s provisions for additional shares that will be issued post-IPO. These shares could have pre-emptive rights.</w:t>
      </w:r>
      <w:bookmarkEnd w:id="21"/>
      <w:r>
        <w:rPr>
          <w:rFonts w:ascii="Times New Roman" w:eastAsia="Arial Unicode MS" w:hAnsi="Times New Roman" w:cs="Arial Unicode MS"/>
          <w:kern w:val="3"/>
          <w:sz w:val="24"/>
          <w:szCs w:val="24"/>
        </w:rPr>
        <w:t xml:space="preserve"> In this arrangement, the stocks that are offered as an addition are offered first to current shareholders two to three </w:t>
      </w:r>
      <w:bookmarkStart w:id="22" w:name="_Hlk377256"/>
      <w:r>
        <w:rPr>
          <w:rFonts w:ascii="Times New Roman" w:eastAsia="Arial Unicode MS" w:hAnsi="Times New Roman" w:cs="Arial Unicode MS"/>
          <w:kern w:val="3"/>
          <w:sz w:val="24"/>
          <w:szCs w:val="24"/>
        </w:rPr>
        <w:t xml:space="preserve">weeks prior to being offered to the public. This process is called a </w:t>
      </w:r>
      <w:proofErr w:type="gramStart"/>
      <w:r>
        <w:rPr>
          <w:rFonts w:ascii="Times New Roman" w:eastAsia="Arial Unicode MS" w:hAnsi="Times New Roman" w:cs="Arial Unicode MS"/>
          <w:kern w:val="3"/>
          <w:sz w:val="24"/>
          <w:szCs w:val="24"/>
        </w:rPr>
        <w:t>rights</w:t>
      </w:r>
      <w:proofErr w:type="gramEnd"/>
      <w:r>
        <w:rPr>
          <w:rFonts w:ascii="Times New Roman" w:eastAsia="Arial Unicode MS" w:hAnsi="Times New Roman" w:cs="Arial Unicode MS"/>
          <w:kern w:val="3"/>
          <w:sz w:val="24"/>
          <w:szCs w:val="24"/>
        </w:rPr>
        <w:t xml:space="preserve"> offering. These shares are first offered to existing shareholders, then to the retail investors, and if there are </w:t>
      </w:r>
      <w:proofErr w:type="gramStart"/>
      <w:r>
        <w:rPr>
          <w:rFonts w:ascii="Times New Roman" w:eastAsia="Arial Unicode MS" w:hAnsi="Times New Roman" w:cs="Arial Unicode MS"/>
          <w:kern w:val="3"/>
          <w:sz w:val="24"/>
          <w:szCs w:val="24"/>
        </w:rPr>
        <w:t>still remaining</w:t>
      </w:r>
      <w:proofErr w:type="gramEnd"/>
      <w:r>
        <w:rPr>
          <w:rFonts w:ascii="Times New Roman" w:eastAsia="Arial Unicode MS" w:hAnsi="Times New Roman" w:cs="Arial Unicode MS"/>
          <w:kern w:val="3"/>
          <w:sz w:val="24"/>
          <w:szCs w:val="24"/>
        </w:rPr>
        <w:t xml:space="preserve"> shares the syndicate purchases them</w:t>
      </w:r>
      <w:bookmarkEnd w:id="22"/>
      <w:r>
        <w:rPr>
          <w:rFonts w:ascii="Times New Roman" w:eastAsia="Arial Unicode MS" w:hAnsi="Times New Roman" w:cs="Arial Unicode MS"/>
          <w:kern w:val="3"/>
          <w:sz w:val="24"/>
          <w:szCs w:val="24"/>
        </w:rPr>
        <w:t xml:space="preserve"> – refer to </w:t>
      </w:r>
      <w:r w:rsidRPr="00CE4F44">
        <w:rPr>
          <w:rFonts w:ascii="Times New Roman" w:eastAsia="Arial Unicode MS" w:hAnsi="Times New Roman" w:cs="Arial Unicode MS"/>
          <w:b/>
          <w:kern w:val="3"/>
          <w:sz w:val="24"/>
          <w:szCs w:val="24"/>
        </w:rPr>
        <w:t>Standby Commitments</w:t>
      </w:r>
      <w:r>
        <w:rPr>
          <w:rFonts w:ascii="Times New Roman" w:eastAsia="Arial Unicode MS" w:hAnsi="Times New Roman" w:cs="Arial Unicode MS"/>
          <w:kern w:val="3"/>
          <w:sz w:val="24"/>
          <w:szCs w:val="24"/>
        </w:rPr>
        <w:t xml:space="preserve">. </w:t>
      </w:r>
    </w:p>
    <w:p w14:paraId="35CC8382" w14:textId="77777777" w:rsidR="008719ED" w:rsidRPr="00685CF9" w:rsidRDefault="008719ED" w:rsidP="008719ED">
      <w:pPr>
        <w:rPr>
          <w:rFonts w:ascii="Times New Roman" w:eastAsia="Arial Unicode MS" w:hAnsi="Times New Roman" w:cs="Arial Unicode MS"/>
          <w:b/>
          <w:kern w:val="3"/>
          <w:sz w:val="24"/>
          <w:szCs w:val="24"/>
          <w:u w:val="single"/>
        </w:rPr>
      </w:pPr>
      <w:r>
        <w:rPr>
          <w:rFonts w:ascii="Times New Roman" w:eastAsia="Arial Unicode MS" w:hAnsi="Times New Roman" w:cs="Arial Unicode MS"/>
          <w:b/>
          <w:kern w:val="3"/>
          <w:sz w:val="24"/>
          <w:szCs w:val="24"/>
          <w:u w:val="single"/>
        </w:rPr>
        <w:t>Best Effort Commitment</w:t>
      </w:r>
    </w:p>
    <w:p w14:paraId="61131C12" w14:textId="01DDE39A" w:rsidR="007268BC" w:rsidRDefault="008719ED" w:rsidP="00545D7C">
      <w:pPr>
        <w:jc w:val="both"/>
        <w:rPr>
          <w:rFonts w:ascii="Times New Roman" w:eastAsia="Arial Unicode MS" w:hAnsi="Times New Roman" w:cs="Arial Unicode MS"/>
          <w:kern w:val="3"/>
          <w:sz w:val="24"/>
          <w:szCs w:val="24"/>
        </w:rPr>
      </w:pPr>
      <w:r w:rsidRPr="00643C3E">
        <w:rPr>
          <w:rFonts w:ascii="Times New Roman" w:eastAsia="Arial Unicode MS" w:hAnsi="Times New Roman" w:cs="Arial Unicode MS"/>
          <w:b/>
          <w:kern w:val="3"/>
          <w:sz w:val="24"/>
          <w:szCs w:val="24"/>
        </w:rPr>
        <w:t xml:space="preserve">A best-efforts underwriting agreement is an agreement in which </w:t>
      </w:r>
      <w:bookmarkStart w:id="23" w:name="_Hlk377407"/>
      <w:r w:rsidRPr="00643C3E">
        <w:rPr>
          <w:rFonts w:ascii="Times New Roman" w:eastAsia="Arial Unicode MS" w:hAnsi="Times New Roman" w:cs="Arial Unicode MS"/>
          <w:b/>
          <w:kern w:val="3"/>
          <w:sz w:val="24"/>
          <w:szCs w:val="24"/>
        </w:rPr>
        <w:t>the underwriters seek to sell all the shares to the interested investors but have no obligation to purchase any unsold shares</w:t>
      </w:r>
      <w:bookmarkEnd w:id="23"/>
      <w:r>
        <w:rPr>
          <w:rFonts w:ascii="Times New Roman" w:eastAsia="Arial Unicode MS" w:hAnsi="Times New Roman" w:cs="Arial Unicode MS"/>
          <w:kern w:val="3"/>
          <w:sz w:val="24"/>
          <w:szCs w:val="24"/>
        </w:rPr>
        <w:t xml:space="preserve">. Typically, </w:t>
      </w:r>
      <w:bookmarkStart w:id="24" w:name="_Hlk377440"/>
      <w:r>
        <w:rPr>
          <w:rFonts w:ascii="Times New Roman" w:eastAsia="Arial Unicode MS" w:hAnsi="Times New Roman" w:cs="Arial Unicode MS"/>
          <w:kern w:val="3"/>
          <w:sz w:val="24"/>
          <w:szCs w:val="24"/>
        </w:rPr>
        <w:t xml:space="preserve">this agreement is for higher risk issuers or tough IPO markets as the underwriters do not want to take any market risk. </w:t>
      </w:r>
      <w:bookmarkEnd w:id="24"/>
      <w:r>
        <w:rPr>
          <w:rFonts w:ascii="Times New Roman" w:eastAsia="Arial Unicode MS" w:hAnsi="Times New Roman" w:cs="Arial Unicode MS"/>
          <w:kern w:val="3"/>
          <w:sz w:val="24"/>
          <w:szCs w:val="24"/>
        </w:rPr>
        <w:t>Some best efforts agreements are set as “</w:t>
      </w:r>
      <w:bookmarkStart w:id="25" w:name="_Hlk377500"/>
      <w:r>
        <w:rPr>
          <w:rFonts w:ascii="Times New Roman" w:eastAsia="Arial Unicode MS" w:hAnsi="Times New Roman" w:cs="Arial Unicode MS"/>
          <w:kern w:val="3"/>
          <w:sz w:val="24"/>
          <w:szCs w:val="24"/>
        </w:rPr>
        <w:t>all-or-none”. This refers to a best effort attempt to sell the shares. If they are short (undersubscribed) of selling 100% of the shares, the offering is cancelled within a specific timeframe – i.e. the IPO is postponed or cancelled.</w:t>
      </w:r>
      <w:bookmarkEnd w:id="25"/>
      <w:r>
        <w:rPr>
          <w:rFonts w:ascii="Times New Roman" w:eastAsia="Arial Unicode MS" w:hAnsi="Times New Roman" w:cs="Arial Unicode MS"/>
          <w:kern w:val="3"/>
          <w:sz w:val="24"/>
          <w:szCs w:val="24"/>
        </w:rPr>
        <w:t xml:space="preserve">  </w:t>
      </w:r>
      <w:r w:rsidR="004042B0">
        <w:rPr>
          <w:rFonts w:ascii="Times New Roman" w:eastAsia="Arial Unicode MS" w:hAnsi="Times New Roman" w:cs="Arial Unicode MS"/>
          <w:kern w:val="3"/>
          <w:sz w:val="24"/>
          <w:szCs w:val="24"/>
        </w:rPr>
        <w:t xml:space="preserve"> </w:t>
      </w:r>
    </w:p>
    <w:p w14:paraId="048BC2CE" w14:textId="77777777" w:rsidR="00D240D8" w:rsidRPr="00CA196D" w:rsidRDefault="00D240D8" w:rsidP="00D240D8">
      <w:pPr>
        <w:widowControl w:val="0"/>
        <w:suppressAutoHyphens/>
        <w:autoSpaceDN w:val="0"/>
        <w:spacing w:after="0" w:line="240" w:lineRule="auto"/>
        <w:jc w:val="both"/>
        <w:textAlignment w:val="baseline"/>
        <w:rPr>
          <w:rFonts w:ascii="Times New Roman" w:eastAsia="Arial Unicode MS" w:hAnsi="Times New Roman" w:cs="Arial Unicode MS"/>
          <w:b/>
          <w:kern w:val="3"/>
          <w:sz w:val="24"/>
          <w:szCs w:val="24"/>
        </w:rPr>
      </w:pPr>
      <w:r w:rsidRPr="00CA196D">
        <w:rPr>
          <w:rFonts w:ascii="Times New Roman" w:eastAsia="Arial Unicode MS" w:hAnsi="Times New Roman" w:cs="Arial Unicode MS"/>
          <w:b/>
          <w:kern w:val="3"/>
          <w:sz w:val="24"/>
          <w:szCs w:val="24"/>
        </w:rPr>
        <w:t xml:space="preserve">Choosing an Underwriter (s)  </w:t>
      </w:r>
    </w:p>
    <w:p w14:paraId="6CE28B5C" w14:textId="77777777" w:rsidR="00190219" w:rsidRDefault="00190219" w:rsidP="00190219">
      <w:pPr>
        <w:jc w:val="both"/>
        <w:rPr>
          <w:rFonts w:ascii="Times New Roman" w:eastAsia="Arial Unicode MS" w:hAnsi="Times New Roman" w:cs="Arial Unicode MS"/>
          <w:kern w:val="3"/>
          <w:sz w:val="24"/>
          <w:szCs w:val="24"/>
        </w:rPr>
      </w:pPr>
      <w:r w:rsidRPr="00CA196D">
        <w:rPr>
          <w:rFonts w:ascii="Times New Roman" w:eastAsia="Arial Unicode MS" w:hAnsi="Times New Roman" w:cs="Arial Unicode MS"/>
          <w:kern w:val="3"/>
          <w:sz w:val="24"/>
          <w:szCs w:val="24"/>
        </w:rPr>
        <w:t>For choosing the left lead underwriter or co-underwriters, the company will contact many investment bankers and ask them to give th</w:t>
      </w:r>
      <w:r>
        <w:rPr>
          <w:rFonts w:ascii="Times New Roman" w:eastAsia="Arial Unicode MS" w:hAnsi="Times New Roman" w:cs="Arial Unicode MS"/>
          <w:kern w:val="3"/>
          <w:sz w:val="24"/>
          <w:szCs w:val="24"/>
        </w:rPr>
        <w:t xml:space="preserve">eir proposal for a successful IPO offering. The company, in this case the issuer, will decide between the left lead underwriter and other underwriters on who leads the offering. This is largely based on who they feel will provide a successful execution and stable process. For an IPO, typically, the competing process (called a “bake-off) for </w:t>
      </w:r>
      <w:bookmarkStart w:id="26" w:name="_Hlk377774"/>
      <w:r>
        <w:rPr>
          <w:rFonts w:ascii="Times New Roman" w:eastAsia="Arial Unicode MS" w:hAnsi="Times New Roman" w:cs="Arial Unicode MS"/>
          <w:kern w:val="3"/>
          <w:sz w:val="24"/>
          <w:szCs w:val="24"/>
        </w:rPr>
        <w:t xml:space="preserve">choosing the left-lead underwriter is through a negotiation process involving all the interested underwriters. Part of the underwriting agreement between the underwriter (s) – in a firm agreement – is the ability to purchase the shares from the issuer and sell them to the public at the offering price. The purchase of the shares from the issuer will run at a discount to the public offering price, representing the underwriter’s fees referred to as an Underwriter’s Spread. </w:t>
      </w:r>
      <w:bookmarkEnd w:id="26"/>
    </w:p>
    <w:p w14:paraId="6D664390" w14:textId="07BB0A3D" w:rsidR="00D240D8" w:rsidRPr="00CA196D" w:rsidRDefault="00D240D8" w:rsidP="00D240D8">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rPr>
        <w:t>Underwriting S</w:t>
      </w:r>
      <w:r w:rsidRPr="005B5849">
        <w:rPr>
          <w:rFonts w:ascii="Times New Roman" w:eastAsia="Arial Unicode MS" w:hAnsi="Times New Roman" w:cs="Arial Unicode MS"/>
          <w:b/>
          <w:kern w:val="3"/>
          <w:sz w:val="24"/>
          <w:szCs w:val="24"/>
        </w:rPr>
        <w:t>pread (Fees)</w:t>
      </w:r>
      <w:r>
        <w:rPr>
          <w:rFonts w:ascii="Times New Roman" w:eastAsia="Arial Unicode MS" w:hAnsi="Times New Roman" w:cs="Arial Unicode MS"/>
          <w:kern w:val="3"/>
          <w:sz w:val="24"/>
          <w:szCs w:val="24"/>
        </w:rPr>
        <w:t xml:space="preserve">: The components of the spread include three types of fees: Manager’s Fee, the Underwriting Fee and a Selling Concession Fee. The </w:t>
      </w:r>
      <w:r w:rsidRPr="00082E7A">
        <w:rPr>
          <w:rFonts w:ascii="Times New Roman" w:eastAsia="Arial Unicode MS" w:hAnsi="Times New Roman" w:cs="Arial Unicode MS"/>
          <w:b/>
          <w:kern w:val="3"/>
          <w:sz w:val="24"/>
          <w:szCs w:val="24"/>
        </w:rPr>
        <w:t>Manager’s Fee</w:t>
      </w:r>
      <w:r>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lastRenderedPageBreak/>
        <w:t xml:space="preserve">is the fee that the left lead or the manager of the syndicate receives first. The </w:t>
      </w:r>
      <w:r w:rsidRPr="001B12F8">
        <w:rPr>
          <w:rFonts w:ascii="Times New Roman" w:eastAsia="Arial Unicode MS" w:hAnsi="Times New Roman" w:cs="Arial Unicode MS"/>
          <w:b/>
          <w:kern w:val="3"/>
          <w:sz w:val="24"/>
          <w:szCs w:val="24"/>
        </w:rPr>
        <w:t>Underwriting Fee</w:t>
      </w:r>
      <w:r>
        <w:rPr>
          <w:rFonts w:ascii="Times New Roman" w:eastAsia="Arial Unicode MS" w:hAnsi="Times New Roman" w:cs="Arial Unicode MS"/>
          <w:kern w:val="3"/>
          <w:sz w:val="24"/>
          <w:szCs w:val="24"/>
        </w:rPr>
        <w:t xml:space="preserve"> is the fee that the syndicate of underwriters receives. The </w:t>
      </w:r>
      <w:r w:rsidRPr="007338C4">
        <w:rPr>
          <w:rFonts w:ascii="Times New Roman" w:eastAsia="Arial Unicode MS" w:hAnsi="Times New Roman" w:cs="Arial Unicode MS"/>
          <w:b/>
          <w:kern w:val="3"/>
          <w:sz w:val="24"/>
          <w:szCs w:val="24"/>
        </w:rPr>
        <w:t xml:space="preserve">Selling Concession </w:t>
      </w:r>
      <w:r>
        <w:rPr>
          <w:rFonts w:ascii="Times New Roman" w:eastAsia="Arial Unicode MS" w:hAnsi="Times New Roman" w:cs="Arial Unicode MS"/>
          <w:kern w:val="3"/>
          <w:sz w:val="24"/>
          <w:szCs w:val="24"/>
        </w:rPr>
        <w:t xml:space="preserve">is the fee that the managing underwriter, the syndicate members and the selling group receive based on the shares sold. Figure 6.3 below shows the components of the underwriting spread   </w:t>
      </w:r>
      <w:r w:rsidRPr="00CA196D">
        <w:rPr>
          <w:rFonts w:ascii="Times New Roman" w:eastAsia="Arial Unicode MS" w:hAnsi="Times New Roman" w:cs="Arial Unicode MS"/>
          <w:kern w:val="3"/>
          <w:sz w:val="24"/>
          <w:szCs w:val="24"/>
        </w:rPr>
        <w:t xml:space="preserve"> </w:t>
      </w:r>
    </w:p>
    <w:p w14:paraId="31819BE8" w14:textId="7E044303" w:rsidR="00870535" w:rsidRPr="00CA196D" w:rsidRDefault="00F70AFC" w:rsidP="001B12F8">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 </w:t>
      </w:r>
      <w:r w:rsidR="00AF4C78">
        <w:rPr>
          <w:rFonts w:ascii="Times New Roman" w:eastAsia="Arial Unicode MS" w:hAnsi="Times New Roman" w:cs="Arial Unicode MS"/>
          <w:kern w:val="3"/>
          <w:sz w:val="24"/>
          <w:szCs w:val="24"/>
        </w:rPr>
        <w:t xml:space="preserve">  </w:t>
      </w:r>
      <w:r w:rsidR="00A91017" w:rsidRPr="00CA196D">
        <w:rPr>
          <w:rFonts w:ascii="Times New Roman" w:eastAsia="Arial Unicode MS" w:hAnsi="Times New Roman" w:cs="Arial Unicode MS"/>
          <w:kern w:val="3"/>
          <w:sz w:val="24"/>
          <w:szCs w:val="24"/>
        </w:rPr>
        <w:t xml:space="preserve"> </w:t>
      </w:r>
    </w:p>
    <w:p w14:paraId="030740B4" w14:textId="011BF112" w:rsidR="00AA53BB" w:rsidRDefault="00AA53BB" w:rsidP="00AA53BB">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r w:rsidRPr="00391404">
        <w:rPr>
          <w:rFonts w:ascii="Times New Roman" w:eastAsia="Arial Unicode MS" w:hAnsi="Times New Roman" w:cs="Arial Unicode MS"/>
          <w:b/>
          <w:color w:val="FF0000"/>
          <w:kern w:val="3"/>
          <w:sz w:val="24"/>
          <w:szCs w:val="24"/>
        </w:rPr>
        <w:t xml:space="preserve">Insert Figure </w:t>
      </w:r>
      <w:r w:rsidR="00D4088F">
        <w:rPr>
          <w:rFonts w:ascii="Times New Roman" w:eastAsia="Arial Unicode MS" w:hAnsi="Times New Roman" w:cs="Arial Unicode MS"/>
          <w:b/>
          <w:color w:val="FF0000"/>
          <w:kern w:val="3"/>
          <w:sz w:val="24"/>
          <w:szCs w:val="24"/>
        </w:rPr>
        <w:t>6.3</w:t>
      </w:r>
    </w:p>
    <w:p w14:paraId="5BC1EA32" w14:textId="34E195D0" w:rsidR="002E2DA8" w:rsidRDefault="009D45BC" w:rsidP="00870535">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r w:rsidRPr="009D45BC">
        <w:rPr>
          <w:noProof/>
        </w:rPr>
        <w:drawing>
          <wp:inline distT="0" distB="0" distL="0" distR="0" wp14:anchorId="70B6EF85" wp14:editId="529F37DB">
            <wp:extent cx="5943600" cy="24326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432685"/>
                    </a:xfrm>
                    <a:prstGeom prst="rect">
                      <a:avLst/>
                    </a:prstGeom>
                    <a:noFill/>
                    <a:ln>
                      <a:noFill/>
                    </a:ln>
                  </pic:spPr>
                </pic:pic>
              </a:graphicData>
            </a:graphic>
          </wp:inline>
        </w:drawing>
      </w:r>
    </w:p>
    <w:p w14:paraId="792D3DBD" w14:textId="27FBF531" w:rsidR="002E2DA8" w:rsidRDefault="002E2DA8" w:rsidP="00870535">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40DFD168" w14:textId="77777777" w:rsidR="002E2DA8" w:rsidRDefault="002E2DA8" w:rsidP="00870535">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0FDC1DDC" w14:textId="77777777" w:rsidR="00F80B25" w:rsidRPr="00CA196D" w:rsidRDefault="00F80B25" w:rsidP="00F80B25">
      <w:pPr>
        <w:ind w:left="720"/>
        <w:jc w:val="both"/>
        <w:rPr>
          <w:rFonts w:ascii="Times New Roman" w:eastAsia="Arial Unicode MS" w:hAnsi="Times New Roman" w:cs="Arial Unicode MS"/>
          <w:kern w:val="3"/>
          <w:sz w:val="24"/>
          <w:szCs w:val="24"/>
        </w:rPr>
      </w:pPr>
      <w:bookmarkStart w:id="27" w:name="_Hlk378274"/>
      <w:r w:rsidRPr="001549EC">
        <w:rPr>
          <w:rFonts w:ascii="Times New Roman" w:eastAsia="Arial Unicode MS" w:hAnsi="Times New Roman" w:cs="Arial Unicode MS"/>
          <w:b/>
          <w:kern w:val="3"/>
          <w:sz w:val="24"/>
          <w:szCs w:val="24"/>
        </w:rPr>
        <w:t>Breaking down Underwriting Compensation</w:t>
      </w:r>
      <w:r>
        <w:rPr>
          <w:rFonts w:ascii="Times New Roman" w:eastAsia="Arial Unicode MS" w:hAnsi="Times New Roman" w:cs="Arial Unicode MS"/>
          <w:kern w:val="3"/>
          <w:sz w:val="24"/>
          <w:szCs w:val="24"/>
        </w:rPr>
        <w:t xml:space="preserve">: For small companies, a typical underwriting spread fee is around 12% or discount rate of 88% of the IPO proceeds raised from the offering. Figure 5.9 below shows an example of a Celerity Technology Inc. IPO and the allocation of the spread compensation to the manager, the syndicate and the selling groups:    </w:t>
      </w:r>
      <w:r w:rsidRPr="00CA196D">
        <w:rPr>
          <w:rFonts w:ascii="Times New Roman" w:eastAsia="Arial Unicode MS" w:hAnsi="Times New Roman" w:cs="Arial Unicode MS"/>
          <w:kern w:val="3"/>
          <w:sz w:val="24"/>
          <w:szCs w:val="24"/>
        </w:rPr>
        <w:t xml:space="preserve"> </w:t>
      </w:r>
    </w:p>
    <w:bookmarkEnd w:id="27"/>
    <w:p w14:paraId="4AD95531" w14:textId="27083E3B" w:rsidR="0096504F" w:rsidRDefault="0096504F" w:rsidP="0096504F">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r w:rsidRPr="00391404">
        <w:rPr>
          <w:rFonts w:ascii="Times New Roman" w:eastAsia="Arial Unicode MS" w:hAnsi="Times New Roman" w:cs="Arial Unicode MS"/>
          <w:b/>
          <w:color w:val="FF0000"/>
          <w:kern w:val="3"/>
          <w:sz w:val="24"/>
          <w:szCs w:val="24"/>
        </w:rPr>
        <w:t xml:space="preserve">Insert Figure </w:t>
      </w:r>
      <w:r w:rsidR="009D45BC">
        <w:rPr>
          <w:rFonts w:ascii="Times New Roman" w:eastAsia="Arial Unicode MS" w:hAnsi="Times New Roman" w:cs="Arial Unicode MS"/>
          <w:b/>
          <w:color w:val="FF0000"/>
          <w:kern w:val="3"/>
          <w:sz w:val="24"/>
          <w:szCs w:val="24"/>
        </w:rPr>
        <w:t>6.4</w:t>
      </w:r>
    </w:p>
    <w:p w14:paraId="13822A57" w14:textId="77777777" w:rsidR="00AA1AB3" w:rsidRDefault="00AA1AB3" w:rsidP="0096504F">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499EEA10" w14:textId="319410C4" w:rsidR="002E2DA8" w:rsidRDefault="00E83C67" w:rsidP="00870535">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r w:rsidRPr="00E83C67">
        <w:rPr>
          <w:noProof/>
        </w:rPr>
        <w:lastRenderedPageBreak/>
        <w:drawing>
          <wp:inline distT="0" distB="0" distL="0" distR="0" wp14:anchorId="0019B2CC" wp14:editId="5D6EA2A8">
            <wp:extent cx="5943600" cy="3880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880485"/>
                    </a:xfrm>
                    <a:prstGeom prst="rect">
                      <a:avLst/>
                    </a:prstGeom>
                    <a:noFill/>
                    <a:ln>
                      <a:noFill/>
                    </a:ln>
                  </pic:spPr>
                </pic:pic>
              </a:graphicData>
            </a:graphic>
          </wp:inline>
        </w:drawing>
      </w:r>
    </w:p>
    <w:p w14:paraId="6CD9B1BB" w14:textId="77777777" w:rsidR="00AA1AB3" w:rsidRDefault="00AA1AB3" w:rsidP="00870535">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4DA15599" w14:textId="77777777" w:rsidR="00AA1AB3" w:rsidRDefault="00AA1AB3" w:rsidP="00870535">
      <w:pPr>
        <w:widowControl w:val="0"/>
        <w:suppressAutoHyphens/>
        <w:autoSpaceDN w:val="0"/>
        <w:spacing w:after="0" w:line="240" w:lineRule="auto"/>
        <w:jc w:val="both"/>
        <w:textAlignment w:val="baseline"/>
        <w:rPr>
          <w:rFonts w:ascii="Times New Roman" w:eastAsia="Arial Unicode MS" w:hAnsi="Times New Roman" w:cs="Arial Unicode MS"/>
          <w:b/>
          <w:color w:val="FF0000"/>
          <w:kern w:val="3"/>
          <w:sz w:val="24"/>
          <w:szCs w:val="24"/>
        </w:rPr>
      </w:pPr>
    </w:p>
    <w:p w14:paraId="653BB09A" w14:textId="77777777" w:rsidR="001A3988" w:rsidRPr="000042D3" w:rsidRDefault="001A3988" w:rsidP="001A3988">
      <w:pPr>
        <w:widowControl w:val="0"/>
        <w:suppressAutoHyphens/>
        <w:autoSpaceDN w:val="0"/>
        <w:spacing w:after="0" w:line="240" w:lineRule="auto"/>
        <w:jc w:val="both"/>
        <w:textAlignment w:val="baseline"/>
        <w:rPr>
          <w:rFonts w:ascii="Times New Roman" w:eastAsia="Arial Unicode MS" w:hAnsi="Times New Roman" w:cs="Arial Unicode MS"/>
          <w:b/>
          <w:kern w:val="3"/>
          <w:sz w:val="24"/>
          <w:szCs w:val="24"/>
        </w:rPr>
      </w:pPr>
      <w:r w:rsidRPr="000042D3">
        <w:rPr>
          <w:rFonts w:ascii="Times New Roman" w:eastAsia="Arial Unicode MS" w:hAnsi="Times New Roman" w:cs="Arial Unicode MS"/>
          <w:b/>
          <w:kern w:val="3"/>
          <w:sz w:val="24"/>
          <w:szCs w:val="24"/>
        </w:rPr>
        <w:t xml:space="preserve">Building the Book  </w:t>
      </w:r>
    </w:p>
    <w:p w14:paraId="22D31F90" w14:textId="77777777" w:rsidR="00FB2F93" w:rsidRDefault="00FB2F93" w:rsidP="00FB2F93">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The first responsibility of the left lead manager is to pre-market the offering to institutional investors (qualified investors). The other underwriters in the syndicate also start pre-marketing to their own investors. Before they start this process called building the book, each underwriter of the Syndicate is allocated shares by the left lead manager. </w:t>
      </w:r>
      <w:bookmarkStart w:id="28" w:name="_Hlk378707"/>
      <w:r>
        <w:rPr>
          <w:rFonts w:ascii="Times New Roman" w:eastAsia="Arial Unicode MS" w:hAnsi="Times New Roman" w:cs="Arial Unicode MS"/>
          <w:kern w:val="3"/>
          <w:sz w:val="24"/>
          <w:szCs w:val="24"/>
        </w:rPr>
        <w:t>The Celerity Technology IPO example above (Figure 5.9) shows that the company or the issuer is planning to issue 15 million shares. The left lead manager keeps 9 million of the shares and the remaining 6 million are allocated pro-rata (equally) among the three underwriters.</w:t>
      </w:r>
      <w:bookmarkEnd w:id="28"/>
      <w:r>
        <w:rPr>
          <w:rFonts w:ascii="Times New Roman" w:eastAsia="Arial Unicode MS" w:hAnsi="Times New Roman" w:cs="Arial Unicode MS"/>
          <w:kern w:val="3"/>
          <w:sz w:val="24"/>
          <w:szCs w:val="24"/>
        </w:rPr>
        <w:t xml:space="preserve"> These institutional investors that are interested in purchasing the stock will give an indication of interest (IOI). These IOIs will become orders on the effective day, though they are not obliged at this point to commit and are able to cancel any time before purchase. The syndicate and other institutional investors are motivated to be part of the selling group so they can accumulate fees. Therefore, in the marketing stage, the involved investment banks are calling/presenting to groups of high-quality investors to get either verbal or written</w:t>
      </w:r>
      <w:r w:rsidRPr="00AB3478">
        <w:rPr>
          <w:rFonts w:ascii="Times New Roman" w:eastAsia="Arial Unicode MS" w:hAnsi="Times New Roman" w:cs="Arial Unicode MS"/>
          <w:kern w:val="3"/>
          <w:sz w:val="24"/>
          <w:szCs w:val="24"/>
        </w:rPr>
        <w:t xml:space="preserve"> </w:t>
      </w:r>
      <w:r>
        <w:rPr>
          <w:rFonts w:ascii="Times New Roman" w:eastAsia="Arial Unicode MS" w:hAnsi="Times New Roman" w:cs="Arial Unicode MS"/>
          <w:kern w:val="3"/>
          <w:sz w:val="24"/>
          <w:szCs w:val="24"/>
        </w:rPr>
        <w:t xml:space="preserve">IOIs. Much larger investors will ask to meet management and view their presentations. </w:t>
      </w:r>
    </w:p>
    <w:p w14:paraId="3F64E9A7" w14:textId="77777777" w:rsidR="00EB0585" w:rsidRDefault="00EB0585" w:rsidP="00B96290">
      <w:pPr>
        <w:jc w:val="both"/>
        <w:rPr>
          <w:rFonts w:ascii="Times New Roman" w:eastAsia="Arial Unicode MS" w:hAnsi="Times New Roman" w:cs="Arial Unicode MS"/>
          <w:kern w:val="3"/>
          <w:sz w:val="24"/>
          <w:szCs w:val="24"/>
        </w:rPr>
      </w:pPr>
    </w:p>
    <w:p w14:paraId="66D9E066" w14:textId="39963CAD" w:rsidR="00187C9D" w:rsidRPr="000042D3" w:rsidRDefault="00187C9D" w:rsidP="00187C9D">
      <w:pPr>
        <w:jc w:val="both"/>
        <w:rPr>
          <w:rFonts w:ascii="Times New Roman" w:eastAsia="Arial Unicode MS" w:hAnsi="Times New Roman" w:cs="Arial Unicode MS"/>
          <w:kern w:val="3"/>
          <w:sz w:val="24"/>
          <w:szCs w:val="24"/>
        </w:rPr>
      </w:pPr>
      <w:bookmarkStart w:id="29" w:name="_Hlk378956"/>
      <w:r w:rsidRPr="004C4C50">
        <w:rPr>
          <w:rFonts w:ascii="Times New Roman" w:eastAsia="Arial Unicode MS" w:hAnsi="Times New Roman" w:cs="Arial Unicode MS"/>
          <w:b/>
          <w:kern w:val="3"/>
          <w:sz w:val="24"/>
          <w:szCs w:val="24"/>
        </w:rPr>
        <w:t xml:space="preserve">The Building-the-Book stage is probably one of the most important stages during the offering as the manager, syndicate, and selling group receive a lot of market feedback and evaluate the demand </w:t>
      </w:r>
      <w:bookmarkEnd w:id="29"/>
      <w:r w:rsidRPr="004C4C50">
        <w:rPr>
          <w:rFonts w:ascii="Times New Roman" w:eastAsia="Arial Unicode MS" w:hAnsi="Times New Roman" w:cs="Arial Unicode MS"/>
          <w:b/>
          <w:kern w:val="3"/>
          <w:sz w:val="24"/>
          <w:szCs w:val="24"/>
        </w:rPr>
        <w:t xml:space="preserve">which can be </w:t>
      </w:r>
      <w:bookmarkStart w:id="30" w:name="_Hlk379053"/>
      <w:r w:rsidRPr="004C4C50">
        <w:rPr>
          <w:rFonts w:ascii="Times New Roman" w:eastAsia="Arial Unicode MS" w:hAnsi="Times New Roman" w:cs="Arial Unicode MS"/>
          <w:b/>
          <w:kern w:val="3"/>
          <w:sz w:val="24"/>
          <w:szCs w:val="24"/>
        </w:rPr>
        <w:t xml:space="preserve">used as the basis to start the discussion on the offering price. </w:t>
      </w:r>
      <w:r>
        <w:rPr>
          <w:rFonts w:ascii="Times New Roman" w:eastAsia="Arial Unicode MS" w:hAnsi="Times New Roman" w:cs="Arial Unicode MS"/>
          <w:kern w:val="3"/>
          <w:sz w:val="24"/>
          <w:szCs w:val="24"/>
        </w:rPr>
        <w:t>The initial discussion on the offering price is usually a range</w:t>
      </w:r>
      <w:bookmarkEnd w:id="30"/>
      <w:r>
        <w:rPr>
          <w:rFonts w:ascii="Times New Roman" w:eastAsia="Arial Unicode MS" w:hAnsi="Times New Roman" w:cs="Arial Unicode MS"/>
          <w:kern w:val="3"/>
          <w:sz w:val="24"/>
          <w:szCs w:val="24"/>
        </w:rPr>
        <w:t xml:space="preserve">. </w:t>
      </w:r>
      <w:bookmarkStart w:id="31" w:name="_Hlk379112"/>
      <w:r>
        <w:rPr>
          <w:rFonts w:ascii="Times New Roman" w:eastAsia="Arial Unicode MS" w:hAnsi="Times New Roman" w:cs="Arial Unicode MS"/>
          <w:kern w:val="3"/>
          <w:sz w:val="24"/>
          <w:szCs w:val="24"/>
        </w:rPr>
        <w:t xml:space="preserve">Using Celerity Technology’s IPO example above (Figure 5.9) before it settled at $40, the range could have been $38-42. This range is not </w:t>
      </w:r>
      <w:r>
        <w:rPr>
          <w:rFonts w:ascii="Times New Roman" w:eastAsia="Arial Unicode MS" w:hAnsi="Times New Roman" w:cs="Arial Unicode MS"/>
          <w:kern w:val="3"/>
          <w:sz w:val="24"/>
          <w:szCs w:val="24"/>
        </w:rPr>
        <w:lastRenderedPageBreak/>
        <w:t xml:space="preserve">binding and the discussion with the investors during this period is to close in the range based on strong or weak demand. </w:t>
      </w:r>
      <w:bookmarkStart w:id="32" w:name="_Hlk379172"/>
      <w:bookmarkEnd w:id="31"/>
      <w:r>
        <w:rPr>
          <w:rFonts w:ascii="Times New Roman" w:eastAsia="Arial Unicode MS" w:hAnsi="Times New Roman" w:cs="Arial Unicode MS"/>
          <w:kern w:val="3"/>
          <w:sz w:val="24"/>
          <w:szCs w:val="24"/>
        </w:rPr>
        <w:t>If there is a strong demand at a certain price the underwriters may decide to increase the number of shares. Once all the investor demand is accounted for based on the range, the underwriters work with the syndicate and the selling group to allocate or “circle” shares</w:t>
      </w:r>
      <w:bookmarkEnd w:id="32"/>
      <w:r>
        <w:rPr>
          <w:rFonts w:ascii="Times New Roman" w:eastAsia="Arial Unicode MS" w:hAnsi="Times New Roman" w:cs="Arial Unicode MS"/>
          <w:kern w:val="3"/>
          <w:sz w:val="24"/>
          <w:szCs w:val="24"/>
        </w:rPr>
        <w:t xml:space="preserve">. Technically, investors can change their minds and get out of their </w:t>
      </w:r>
      <w:r w:rsidR="00545D7C">
        <w:rPr>
          <w:rFonts w:ascii="Times New Roman" w:eastAsia="Arial Unicode MS" w:hAnsi="Times New Roman" w:cs="Arial Unicode MS"/>
          <w:kern w:val="3"/>
          <w:sz w:val="24"/>
          <w:szCs w:val="24"/>
        </w:rPr>
        <w:t>circle,</w:t>
      </w:r>
      <w:r>
        <w:rPr>
          <w:rFonts w:ascii="Times New Roman" w:eastAsia="Arial Unicode MS" w:hAnsi="Times New Roman" w:cs="Arial Unicode MS"/>
          <w:kern w:val="3"/>
          <w:sz w:val="24"/>
          <w:szCs w:val="24"/>
        </w:rPr>
        <w:t xml:space="preserve"> but this practice is discouraged as it would be a devastating business blunder for the investor in case of future business with the syndicate group.            </w:t>
      </w:r>
    </w:p>
    <w:p w14:paraId="19B22929" w14:textId="77777777" w:rsidR="004D56FC" w:rsidRPr="004E7578" w:rsidRDefault="004D56FC" w:rsidP="004D56FC">
      <w:pPr>
        <w:widowControl w:val="0"/>
        <w:suppressAutoHyphens/>
        <w:autoSpaceDN w:val="0"/>
        <w:spacing w:after="0" w:line="240" w:lineRule="auto"/>
        <w:jc w:val="both"/>
        <w:textAlignment w:val="baseline"/>
        <w:rPr>
          <w:rFonts w:ascii="Times New Roman" w:eastAsia="Arial Unicode MS" w:hAnsi="Times New Roman" w:cs="Arial Unicode MS"/>
          <w:b/>
          <w:color w:val="000000" w:themeColor="text1"/>
          <w:kern w:val="3"/>
          <w:sz w:val="24"/>
          <w:szCs w:val="24"/>
        </w:rPr>
      </w:pPr>
      <w:r w:rsidRPr="004E7578">
        <w:rPr>
          <w:rFonts w:ascii="Times New Roman" w:eastAsia="Arial Unicode MS" w:hAnsi="Times New Roman" w:cs="Arial Unicode MS"/>
          <w:b/>
          <w:color w:val="000000" w:themeColor="text1"/>
          <w:kern w:val="3"/>
          <w:sz w:val="24"/>
          <w:szCs w:val="24"/>
        </w:rPr>
        <w:t>Setting up the investor list by Underwriter (Allotment)</w:t>
      </w:r>
    </w:p>
    <w:p w14:paraId="62E1DBDD" w14:textId="77777777" w:rsidR="004D56FC" w:rsidRPr="0069356B" w:rsidRDefault="004D56FC" w:rsidP="004D56FC">
      <w:pPr>
        <w:jc w:val="both"/>
        <w:rPr>
          <w:rFonts w:ascii="Times New Roman" w:eastAsia="Arial Unicode MS" w:hAnsi="Times New Roman" w:cs="Arial Unicode MS"/>
          <w:color w:val="000000" w:themeColor="text1"/>
          <w:kern w:val="3"/>
          <w:sz w:val="24"/>
          <w:szCs w:val="24"/>
        </w:rPr>
      </w:pPr>
      <w:r>
        <w:rPr>
          <w:rFonts w:ascii="Times New Roman" w:eastAsia="Arial Unicode MS" w:hAnsi="Times New Roman" w:cs="Arial Unicode MS"/>
          <w:color w:val="000000" w:themeColor="text1"/>
          <w:kern w:val="3"/>
          <w:sz w:val="24"/>
          <w:szCs w:val="24"/>
        </w:rPr>
        <w:t xml:space="preserve">Before the Building-the-Book stage which involves the pre-marketing of the offering, the list of investors could be allocated among the underwriters. </w:t>
      </w:r>
      <w:bookmarkStart w:id="33" w:name="_Hlk379364"/>
      <w:r>
        <w:rPr>
          <w:rFonts w:ascii="Times New Roman" w:eastAsia="Arial Unicode MS" w:hAnsi="Times New Roman" w:cs="Arial Unicode MS"/>
          <w:color w:val="000000" w:themeColor="text1"/>
          <w:kern w:val="3"/>
          <w:sz w:val="24"/>
          <w:szCs w:val="24"/>
        </w:rPr>
        <w:t xml:space="preserve">This process, which is the preferred process in the US, is called a </w:t>
      </w:r>
      <w:r w:rsidRPr="0069356B">
        <w:rPr>
          <w:rFonts w:ascii="Times New Roman" w:eastAsia="Arial Unicode MS" w:hAnsi="Times New Roman" w:cs="Arial Unicode MS"/>
          <w:b/>
          <w:color w:val="000000" w:themeColor="text1"/>
          <w:kern w:val="3"/>
          <w:sz w:val="24"/>
          <w:szCs w:val="24"/>
        </w:rPr>
        <w:t>Fixed Pot Arrangement</w:t>
      </w:r>
      <w:r>
        <w:rPr>
          <w:rFonts w:ascii="Times New Roman" w:eastAsia="Arial Unicode MS" w:hAnsi="Times New Roman" w:cs="Arial Unicode MS"/>
          <w:b/>
          <w:color w:val="000000" w:themeColor="text1"/>
          <w:kern w:val="3"/>
          <w:sz w:val="24"/>
          <w:szCs w:val="24"/>
        </w:rPr>
        <w:t>.</w:t>
      </w:r>
      <w:r>
        <w:rPr>
          <w:rFonts w:ascii="Times New Roman" w:eastAsia="Arial Unicode MS" w:hAnsi="Times New Roman" w:cs="Arial Unicode MS"/>
          <w:color w:val="000000" w:themeColor="text1"/>
          <w:kern w:val="3"/>
          <w:sz w:val="24"/>
          <w:szCs w:val="24"/>
        </w:rPr>
        <w:t xml:space="preserve"> This arrangement is sometimes cleaner to execute since each underwriter focuses on their allocated list of investors and fees are shared across all despite one underwriter doing better than the other. The </w:t>
      </w:r>
      <w:r w:rsidRPr="009B6ADC">
        <w:rPr>
          <w:rFonts w:ascii="Times New Roman" w:eastAsia="Arial Unicode MS" w:hAnsi="Times New Roman" w:cs="Arial Unicode MS"/>
          <w:b/>
          <w:color w:val="000000" w:themeColor="text1"/>
          <w:kern w:val="3"/>
          <w:sz w:val="24"/>
          <w:szCs w:val="24"/>
        </w:rPr>
        <w:t>“Jump-Ball’ Arr</w:t>
      </w:r>
      <w:r>
        <w:rPr>
          <w:rFonts w:ascii="Times New Roman" w:eastAsia="Arial Unicode MS" w:hAnsi="Times New Roman" w:cs="Arial Unicode MS"/>
          <w:b/>
          <w:color w:val="000000" w:themeColor="text1"/>
          <w:kern w:val="3"/>
          <w:sz w:val="24"/>
          <w:szCs w:val="24"/>
        </w:rPr>
        <w:t>a</w:t>
      </w:r>
      <w:r w:rsidRPr="009B6ADC">
        <w:rPr>
          <w:rFonts w:ascii="Times New Roman" w:eastAsia="Arial Unicode MS" w:hAnsi="Times New Roman" w:cs="Arial Unicode MS"/>
          <w:b/>
          <w:color w:val="000000" w:themeColor="text1"/>
          <w:kern w:val="3"/>
          <w:sz w:val="24"/>
          <w:szCs w:val="24"/>
        </w:rPr>
        <w:t>ng</w:t>
      </w:r>
      <w:r>
        <w:rPr>
          <w:rFonts w:ascii="Times New Roman" w:eastAsia="Arial Unicode MS" w:hAnsi="Times New Roman" w:cs="Arial Unicode MS"/>
          <w:b/>
          <w:color w:val="000000" w:themeColor="text1"/>
          <w:kern w:val="3"/>
          <w:sz w:val="24"/>
          <w:szCs w:val="24"/>
        </w:rPr>
        <w:t>e</w:t>
      </w:r>
      <w:r w:rsidRPr="009B6ADC">
        <w:rPr>
          <w:rFonts w:ascii="Times New Roman" w:eastAsia="Arial Unicode MS" w:hAnsi="Times New Roman" w:cs="Arial Unicode MS"/>
          <w:b/>
          <w:color w:val="000000" w:themeColor="text1"/>
          <w:kern w:val="3"/>
          <w:sz w:val="24"/>
          <w:szCs w:val="24"/>
        </w:rPr>
        <w:t>m</w:t>
      </w:r>
      <w:r>
        <w:rPr>
          <w:rFonts w:ascii="Times New Roman" w:eastAsia="Arial Unicode MS" w:hAnsi="Times New Roman" w:cs="Arial Unicode MS"/>
          <w:b/>
          <w:color w:val="000000" w:themeColor="text1"/>
          <w:kern w:val="3"/>
          <w:sz w:val="24"/>
          <w:szCs w:val="24"/>
        </w:rPr>
        <w:t>e</w:t>
      </w:r>
      <w:r w:rsidRPr="009B6ADC">
        <w:rPr>
          <w:rFonts w:ascii="Times New Roman" w:eastAsia="Arial Unicode MS" w:hAnsi="Times New Roman" w:cs="Arial Unicode MS"/>
          <w:b/>
          <w:color w:val="000000" w:themeColor="text1"/>
          <w:kern w:val="3"/>
          <w:sz w:val="24"/>
          <w:szCs w:val="24"/>
        </w:rPr>
        <w:t>nt</w:t>
      </w:r>
      <w:r>
        <w:rPr>
          <w:rFonts w:ascii="Times New Roman" w:eastAsia="Arial Unicode MS" w:hAnsi="Times New Roman" w:cs="Arial Unicode MS"/>
          <w:b/>
          <w:color w:val="000000" w:themeColor="text1"/>
          <w:kern w:val="3"/>
          <w:sz w:val="24"/>
          <w:szCs w:val="24"/>
        </w:rPr>
        <w:t xml:space="preserve">, </w:t>
      </w:r>
      <w:r>
        <w:rPr>
          <w:rFonts w:ascii="Times New Roman" w:eastAsia="Arial Unicode MS" w:hAnsi="Times New Roman" w:cs="Arial Unicode MS"/>
          <w:color w:val="000000" w:themeColor="text1"/>
          <w:kern w:val="3"/>
          <w:sz w:val="24"/>
          <w:szCs w:val="24"/>
        </w:rPr>
        <w:t xml:space="preserve">is basically an arrangement that the credit of circling investors are on a first-come-first-serve basis and the underwriters are paid based on how big a book they are building with IOIs. </w:t>
      </w:r>
      <w:bookmarkEnd w:id="33"/>
    </w:p>
    <w:p w14:paraId="5127A276" w14:textId="77777777" w:rsidR="00187C9D" w:rsidRPr="0055438A" w:rsidRDefault="00187C9D" w:rsidP="00187C9D">
      <w:pPr>
        <w:widowControl w:val="0"/>
        <w:suppressAutoHyphens/>
        <w:autoSpaceDN w:val="0"/>
        <w:spacing w:after="0" w:line="240" w:lineRule="auto"/>
        <w:jc w:val="both"/>
        <w:textAlignment w:val="baseline"/>
        <w:rPr>
          <w:rFonts w:ascii="Times New Roman" w:eastAsia="Arial Unicode MS" w:hAnsi="Times New Roman" w:cs="Arial Unicode MS"/>
          <w:b/>
          <w:color w:val="000000" w:themeColor="text1"/>
          <w:kern w:val="3"/>
          <w:sz w:val="24"/>
          <w:szCs w:val="24"/>
        </w:rPr>
      </w:pPr>
      <w:r w:rsidRPr="0055438A">
        <w:rPr>
          <w:rFonts w:ascii="Times New Roman" w:eastAsia="Arial Unicode MS" w:hAnsi="Times New Roman" w:cs="Arial Unicode MS"/>
          <w:b/>
          <w:color w:val="000000" w:themeColor="text1"/>
          <w:kern w:val="3"/>
          <w:sz w:val="24"/>
          <w:szCs w:val="24"/>
        </w:rPr>
        <w:t>Pricing</w:t>
      </w:r>
    </w:p>
    <w:p w14:paraId="78907968" w14:textId="77777777" w:rsidR="00187C9D" w:rsidRDefault="00187C9D" w:rsidP="00187C9D">
      <w:pPr>
        <w:jc w:val="both"/>
        <w:rPr>
          <w:rFonts w:ascii="Times New Roman" w:eastAsia="Arial Unicode MS" w:hAnsi="Times New Roman" w:cs="Arial Unicode MS"/>
          <w:color w:val="000000" w:themeColor="text1"/>
          <w:kern w:val="3"/>
          <w:sz w:val="24"/>
          <w:szCs w:val="24"/>
        </w:rPr>
      </w:pPr>
      <w:bookmarkStart w:id="34" w:name="_Hlk379514"/>
      <w:r>
        <w:rPr>
          <w:rFonts w:ascii="Times New Roman" w:eastAsia="Arial Unicode MS" w:hAnsi="Times New Roman" w:cs="Arial Unicode MS"/>
          <w:color w:val="000000" w:themeColor="text1"/>
          <w:kern w:val="3"/>
          <w:sz w:val="24"/>
          <w:szCs w:val="24"/>
        </w:rPr>
        <w:t xml:space="preserve">The left lead manager is untimely responsible for letting the issuer know about the success or failure of the book building effort and the state of the market including records of other IPOs that have already been priced. </w:t>
      </w:r>
      <w:r w:rsidRPr="004C4C50">
        <w:rPr>
          <w:rFonts w:ascii="Times New Roman" w:eastAsia="Arial Unicode MS" w:hAnsi="Times New Roman" w:cs="Arial Unicode MS"/>
          <w:b/>
          <w:color w:val="000000" w:themeColor="text1"/>
          <w:kern w:val="3"/>
          <w:sz w:val="24"/>
          <w:szCs w:val="24"/>
        </w:rPr>
        <w:t>The manager also confirms the final pricing and scheduling</w:t>
      </w:r>
      <w:r>
        <w:rPr>
          <w:rFonts w:ascii="Times New Roman" w:eastAsia="Arial Unicode MS" w:hAnsi="Times New Roman" w:cs="Arial Unicode MS"/>
          <w:color w:val="000000" w:themeColor="text1"/>
          <w:kern w:val="3"/>
          <w:sz w:val="24"/>
          <w:szCs w:val="24"/>
        </w:rPr>
        <w:t>. After looking at the final book with all the orders at different prices within the range, the manager sets the price and communicates it to the company.  In the Celerity Technology IPO example, (Figure 5.9) the final price is $40. Given that the total issuance represents 15 million shares and the total capital raised is calculated to be $600 million. After subtracting the gross fees totaling 6% of the total capital raised or $36 million are allocated, the net proceeds to the company is estimated to be $564 million before any other transaction expenses.</w:t>
      </w:r>
      <w:bookmarkEnd w:id="34"/>
    </w:p>
    <w:p w14:paraId="598E843D" w14:textId="77777777" w:rsidR="00187C9D" w:rsidRDefault="00187C9D" w:rsidP="00187C9D">
      <w:pPr>
        <w:jc w:val="both"/>
        <w:rPr>
          <w:rFonts w:ascii="Times New Roman" w:eastAsia="Arial Unicode MS" w:hAnsi="Times New Roman" w:cs="Arial Unicode MS"/>
          <w:b/>
          <w:color w:val="000000" w:themeColor="text1"/>
          <w:kern w:val="3"/>
          <w:sz w:val="24"/>
          <w:szCs w:val="24"/>
        </w:rPr>
      </w:pPr>
    </w:p>
    <w:p w14:paraId="4B7402EF" w14:textId="77777777" w:rsidR="00187C9D" w:rsidRPr="005B13E2" w:rsidRDefault="00187C9D" w:rsidP="00187C9D">
      <w:pPr>
        <w:jc w:val="both"/>
        <w:rPr>
          <w:rFonts w:ascii="Times New Roman" w:eastAsia="Arial Unicode MS" w:hAnsi="Times New Roman" w:cs="Arial Unicode MS"/>
          <w:b/>
          <w:color w:val="000000" w:themeColor="text1"/>
          <w:kern w:val="3"/>
          <w:sz w:val="24"/>
          <w:szCs w:val="24"/>
        </w:rPr>
      </w:pPr>
      <w:r>
        <w:rPr>
          <w:rFonts w:ascii="Times New Roman" w:eastAsia="Arial Unicode MS" w:hAnsi="Times New Roman" w:cs="Arial Unicode MS"/>
          <w:b/>
          <w:color w:val="000000" w:themeColor="text1"/>
          <w:kern w:val="3"/>
          <w:sz w:val="24"/>
          <w:szCs w:val="24"/>
        </w:rPr>
        <w:t xml:space="preserve">Other IPO </w:t>
      </w:r>
      <w:r w:rsidRPr="005B13E2">
        <w:rPr>
          <w:rFonts w:ascii="Times New Roman" w:eastAsia="Arial Unicode MS" w:hAnsi="Times New Roman" w:cs="Arial Unicode MS"/>
          <w:b/>
          <w:color w:val="000000" w:themeColor="text1"/>
          <w:kern w:val="3"/>
          <w:sz w:val="24"/>
          <w:szCs w:val="24"/>
        </w:rPr>
        <w:t>Terms</w:t>
      </w:r>
      <w:r>
        <w:rPr>
          <w:rFonts w:ascii="Times New Roman" w:eastAsia="Arial Unicode MS" w:hAnsi="Times New Roman" w:cs="Arial Unicode MS"/>
          <w:b/>
          <w:color w:val="000000" w:themeColor="text1"/>
          <w:kern w:val="3"/>
          <w:sz w:val="24"/>
          <w:szCs w:val="24"/>
        </w:rPr>
        <w:t>,</w:t>
      </w:r>
      <w:r w:rsidRPr="005B13E2">
        <w:rPr>
          <w:rFonts w:ascii="Times New Roman" w:eastAsia="Arial Unicode MS" w:hAnsi="Times New Roman" w:cs="Arial Unicode MS"/>
          <w:b/>
          <w:color w:val="000000" w:themeColor="text1"/>
          <w:kern w:val="3"/>
          <w:sz w:val="24"/>
          <w:szCs w:val="24"/>
        </w:rPr>
        <w:t xml:space="preserve"> </w:t>
      </w:r>
      <w:r>
        <w:rPr>
          <w:rFonts w:ascii="Times New Roman" w:eastAsia="Arial Unicode MS" w:hAnsi="Times New Roman" w:cs="Arial Unicode MS"/>
          <w:b/>
          <w:color w:val="000000" w:themeColor="text1"/>
          <w:kern w:val="3"/>
          <w:sz w:val="24"/>
          <w:szCs w:val="24"/>
        </w:rPr>
        <w:t xml:space="preserve">Concepts, </w:t>
      </w:r>
      <w:r w:rsidRPr="005B13E2">
        <w:rPr>
          <w:rFonts w:ascii="Times New Roman" w:eastAsia="Arial Unicode MS" w:hAnsi="Times New Roman" w:cs="Arial Unicode MS"/>
          <w:b/>
          <w:color w:val="000000" w:themeColor="text1"/>
          <w:kern w:val="3"/>
          <w:sz w:val="24"/>
          <w:szCs w:val="24"/>
        </w:rPr>
        <w:t xml:space="preserve">and </w:t>
      </w:r>
      <w:r>
        <w:rPr>
          <w:rFonts w:ascii="Times New Roman" w:eastAsia="Arial Unicode MS" w:hAnsi="Times New Roman" w:cs="Arial Unicode MS"/>
          <w:b/>
          <w:color w:val="000000" w:themeColor="text1"/>
          <w:kern w:val="3"/>
          <w:sz w:val="24"/>
          <w:szCs w:val="24"/>
        </w:rPr>
        <w:t xml:space="preserve">Conditions </w:t>
      </w:r>
      <w:r w:rsidRPr="005B13E2">
        <w:rPr>
          <w:rFonts w:ascii="Times New Roman" w:eastAsia="Arial Unicode MS" w:hAnsi="Times New Roman" w:cs="Arial Unicode MS"/>
          <w:b/>
          <w:color w:val="000000" w:themeColor="text1"/>
          <w:kern w:val="3"/>
          <w:sz w:val="24"/>
          <w:szCs w:val="24"/>
        </w:rPr>
        <w:t xml:space="preserve">      </w:t>
      </w:r>
    </w:p>
    <w:p w14:paraId="3CA15E72" w14:textId="77777777" w:rsidR="00187C9D" w:rsidRDefault="00187C9D" w:rsidP="00187C9D">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0000" w:themeColor="text1"/>
          <w:kern w:val="3"/>
          <w:sz w:val="24"/>
          <w:szCs w:val="24"/>
        </w:rPr>
      </w:pPr>
    </w:p>
    <w:p w14:paraId="15B10A2B" w14:textId="77777777" w:rsidR="00187C9D" w:rsidRPr="009F1517" w:rsidRDefault="00187C9D" w:rsidP="00187C9D">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0000" w:themeColor="text1"/>
          <w:kern w:val="3"/>
          <w:sz w:val="24"/>
          <w:szCs w:val="24"/>
        </w:rPr>
      </w:pPr>
      <w:bookmarkStart w:id="35" w:name="_Hlk379917"/>
      <w:r>
        <w:rPr>
          <w:rFonts w:ascii="Times New Roman" w:eastAsia="Arial Unicode MS" w:hAnsi="Times New Roman" w:cs="Arial Unicode MS"/>
          <w:b/>
          <w:color w:val="000000" w:themeColor="text1"/>
          <w:kern w:val="3"/>
          <w:sz w:val="24"/>
          <w:szCs w:val="24"/>
        </w:rPr>
        <w:t>Over-Allotment Option</w:t>
      </w:r>
      <w:r w:rsidRPr="009F1517">
        <w:rPr>
          <w:rFonts w:ascii="Times New Roman" w:eastAsia="Arial Unicode MS" w:hAnsi="Times New Roman" w:cs="Arial Unicode MS"/>
          <w:b/>
          <w:color w:val="000000" w:themeColor="text1"/>
          <w:kern w:val="3"/>
          <w:sz w:val="24"/>
          <w:szCs w:val="24"/>
        </w:rPr>
        <w:t xml:space="preserve"> (“Greenshoe”)</w:t>
      </w:r>
    </w:p>
    <w:bookmarkEnd w:id="35"/>
    <w:p w14:paraId="43DFC36D" w14:textId="77777777" w:rsidR="00187C9D" w:rsidRDefault="00187C9D" w:rsidP="00187C9D">
      <w:pPr>
        <w:ind w:left="720"/>
        <w:jc w:val="both"/>
        <w:rPr>
          <w:rFonts w:ascii="Times New Roman" w:eastAsia="Arial Unicode MS" w:hAnsi="Times New Roman" w:cs="Arial Unicode MS"/>
          <w:color w:val="000000" w:themeColor="text1"/>
          <w:kern w:val="3"/>
          <w:sz w:val="24"/>
          <w:szCs w:val="24"/>
        </w:rPr>
      </w:pPr>
      <w:r>
        <w:rPr>
          <w:rFonts w:ascii="Times New Roman" w:eastAsia="Arial Unicode MS" w:hAnsi="Times New Roman" w:cs="Arial Unicode MS"/>
          <w:color w:val="000000" w:themeColor="text1"/>
          <w:kern w:val="3"/>
          <w:sz w:val="24"/>
          <w:szCs w:val="24"/>
        </w:rPr>
        <w:t xml:space="preserve">Many underwriting agreements may include a </w:t>
      </w:r>
      <w:bookmarkStart w:id="36" w:name="_Hlk379943"/>
      <w:r>
        <w:rPr>
          <w:rFonts w:ascii="Times New Roman" w:eastAsia="Arial Unicode MS" w:hAnsi="Times New Roman" w:cs="Arial Unicode MS"/>
          <w:color w:val="000000" w:themeColor="text1"/>
          <w:kern w:val="3"/>
          <w:sz w:val="24"/>
          <w:szCs w:val="24"/>
        </w:rPr>
        <w:t>provision that the underwriter can exercise the option to issue more shares than originally anticipated</w:t>
      </w:r>
      <w:bookmarkEnd w:id="36"/>
      <w:r>
        <w:rPr>
          <w:rFonts w:ascii="Times New Roman" w:eastAsia="Arial Unicode MS" w:hAnsi="Times New Roman" w:cs="Arial Unicode MS"/>
          <w:color w:val="000000" w:themeColor="text1"/>
          <w:kern w:val="3"/>
          <w:sz w:val="24"/>
          <w:szCs w:val="24"/>
        </w:rPr>
        <w:t xml:space="preserve">. This provision is called “Greenshoe” and is usually used when the </w:t>
      </w:r>
      <w:bookmarkStart w:id="37" w:name="_Hlk379959"/>
      <w:r>
        <w:rPr>
          <w:rFonts w:ascii="Times New Roman" w:eastAsia="Arial Unicode MS" w:hAnsi="Times New Roman" w:cs="Arial Unicode MS"/>
          <w:color w:val="000000" w:themeColor="text1"/>
          <w:kern w:val="3"/>
          <w:sz w:val="24"/>
          <w:szCs w:val="24"/>
        </w:rPr>
        <w:t>orders from investors are higher than the original number of shares scheduled to be issued</w:t>
      </w:r>
      <w:bookmarkEnd w:id="37"/>
      <w:r>
        <w:rPr>
          <w:rFonts w:ascii="Times New Roman" w:eastAsia="Arial Unicode MS" w:hAnsi="Times New Roman" w:cs="Arial Unicode MS"/>
          <w:color w:val="000000" w:themeColor="text1"/>
          <w:kern w:val="3"/>
          <w:sz w:val="24"/>
          <w:szCs w:val="24"/>
        </w:rPr>
        <w:t xml:space="preserve">. The Over-Allotment option is known as a Greenshoe named after the Green Shoe Manufacturing Company was the first to issue this type of option some time ago. This is used to provide some price stability and helps balance volume and price when it is free to trade in the secondary exchange market. This option typically allows the underwriters to create and sell more shares </w:t>
      </w:r>
      <w:bookmarkStart w:id="38" w:name="_Hlk379977"/>
      <w:r>
        <w:rPr>
          <w:rFonts w:ascii="Times New Roman" w:eastAsia="Arial Unicode MS" w:hAnsi="Times New Roman" w:cs="Arial Unicode MS"/>
          <w:color w:val="000000" w:themeColor="text1"/>
          <w:kern w:val="3"/>
          <w:sz w:val="24"/>
          <w:szCs w:val="24"/>
        </w:rPr>
        <w:t xml:space="preserve">(maximum allowed 15%). </w:t>
      </w:r>
      <w:bookmarkEnd w:id="38"/>
      <w:r>
        <w:rPr>
          <w:rFonts w:ascii="Times New Roman" w:eastAsia="Arial Unicode MS" w:hAnsi="Times New Roman" w:cs="Arial Unicode MS"/>
          <w:color w:val="000000" w:themeColor="text1"/>
          <w:kern w:val="3"/>
          <w:sz w:val="24"/>
          <w:szCs w:val="24"/>
        </w:rPr>
        <w:t xml:space="preserve">The </w:t>
      </w:r>
      <w:bookmarkStart w:id="39" w:name="_Hlk379998"/>
      <w:r>
        <w:rPr>
          <w:rFonts w:ascii="Times New Roman" w:eastAsia="Arial Unicode MS" w:hAnsi="Times New Roman" w:cs="Arial Unicode MS"/>
          <w:color w:val="000000" w:themeColor="text1"/>
          <w:kern w:val="3"/>
          <w:sz w:val="24"/>
          <w:szCs w:val="24"/>
        </w:rPr>
        <w:t xml:space="preserve">actual percentage and terms are included in the prospectus </w:t>
      </w:r>
      <w:bookmarkEnd w:id="39"/>
      <w:r>
        <w:rPr>
          <w:rFonts w:ascii="Times New Roman" w:eastAsia="Arial Unicode MS" w:hAnsi="Times New Roman" w:cs="Arial Unicode MS"/>
          <w:color w:val="000000" w:themeColor="text1"/>
          <w:kern w:val="3"/>
          <w:sz w:val="24"/>
          <w:szCs w:val="24"/>
        </w:rPr>
        <w:t xml:space="preserve">that is filed with the SEC prior to the offering. </w:t>
      </w:r>
    </w:p>
    <w:p w14:paraId="7A590216" w14:textId="77777777" w:rsidR="00187C9D" w:rsidRDefault="00187C9D" w:rsidP="00187C9D">
      <w:pPr>
        <w:ind w:left="720"/>
        <w:jc w:val="both"/>
        <w:rPr>
          <w:rFonts w:ascii="Times New Roman" w:eastAsia="Arial Unicode MS" w:hAnsi="Times New Roman" w:cs="Arial Unicode MS"/>
          <w:b/>
          <w:color w:val="FF0000"/>
          <w:kern w:val="3"/>
          <w:sz w:val="24"/>
          <w:szCs w:val="24"/>
        </w:rPr>
      </w:pPr>
      <w:r>
        <w:rPr>
          <w:rFonts w:ascii="Times New Roman" w:eastAsia="Arial Unicode MS" w:hAnsi="Times New Roman" w:cs="Arial Unicode MS"/>
          <w:color w:val="000000" w:themeColor="text1"/>
          <w:kern w:val="3"/>
          <w:sz w:val="24"/>
          <w:szCs w:val="24"/>
        </w:rPr>
        <w:lastRenderedPageBreak/>
        <w:t xml:space="preserve">The decision to use the Greenshoe option is </w:t>
      </w:r>
      <w:bookmarkStart w:id="40" w:name="_Hlk380016"/>
      <w:r>
        <w:rPr>
          <w:rFonts w:ascii="Times New Roman" w:eastAsia="Arial Unicode MS" w:hAnsi="Times New Roman" w:cs="Arial Unicode MS"/>
          <w:color w:val="000000" w:themeColor="text1"/>
          <w:kern w:val="3"/>
          <w:sz w:val="24"/>
          <w:szCs w:val="24"/>
        </w:rPr>
        <w:t>dependent on the market demand for the offering</w:t>
      </w:r>
      <w:bookmarkEnd w:id="40"/>
      <w:r>
        <w:rPr>
          <w:rFonts w:ascii="Times New Roman" w:eastAsia="Arial Unicode MS" w:hAnsi="Times New Roman" w:cs="Arial Unicode MS"/>
          <w:color w:val="000000" w:themeColor="text1"/>
          <w:kern w:val="3"/>
          <w:sz w:val="24"/>
          <w:szCs w:val="24"/>
        </w:rPr>
        <w:t xml:space="preserve">. </w:t>
      </w:r>
      <w:bookmarkStart w:id="41" w:name="_Hlk380054"/>
      <w:r>
        <w:rPr>
          <w:rFonts w:ascii="Times New Roman" w:eastAsia="Arial Unicode MS" w:hAnsi="Times New Roman" w:cs="Arial Unicode MS"/>
          <w:color w:val="000000" w:themeColor="text1"/>
          <w:kern w:val="3"/>
          <w:sz w:val="24"/>
          <w:szCs w:val="24"/>
        </w:rPr>
        <w:t>If the IPO is a success and stock price increases after the IPO is priced, the underwriters can buy extra stock from the company at the IPO price and sell it in the market to record a profit. On the other hand, if the prices post-IPO closing decreases, they buy back from the market at a lower price to support their short position and support the price of the stock.  Most issuers don’t like this option in the agreement especially if the proceeds of the IPO are used for a special project with a defined purpose.</w:t>
      </w:r>
      <w:bookmarkEnd w:id="41"/>
    </w:p>
    <w:p w14:paraId="43B20FDC" w14:textId="77777777" w:rsidR="00187C9D" w:rsidRDefault="00187C9D" w:rsidP="00187C9D">
      <w:pPr>
        <w:widowControl w:val="0"/>
        <w:suppressAutoHyphens/>
        <w:autoSpaceDN w:val="0"/>
        <w:spacing w:after="0" w:line="240" w:lineRule="auto"/>
        <w:ind w:left="720"/>
        <w:jc w:val="both"/>
        <w:textAlignment w:val="baseline"/>
        <w:rPr>
          <w:rFonts w:ascii="Times New Roman" w:eastAsia="Arial Unicode MS" w:hAnsi="Times New Roman" w:cs="Arial Unicode MS"/>
          <w:b/>
          <w:color w:val="FF0000"/>
          <w:kern w:val="3"/>
          <w:sz w:val="24"/>
          <w:szCs w:val="24"/>
        </w:rPr>
      </w:pPr>
    </w:p>
    <w:p w14:paraId="21174D28" w14:textId="77777777" w:rsidR="00187C9D" w:rsidRPr="00852819" w:rsidRDefault="00187C9D" w:rsidP="00187C9D">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0000" w:themeColor="text1"/>
          <w:kern w:val="3"/>
          <w:sz w:val="24"/>
          <w:szCs w:val="24"/>
        </w:rPr>
      </w:pPr>
      <w:bookmarkStart w:id="42" w:name="_Hlk380273"/>
      <w:r w:rsidRPr="00852819">
        <w:rPr>
          <w:rFonts w:ascii="Times New Roman" w:eastAsia="Arial Unicode MS" w:hAnsi="Times New Roman" w:cs="Arial Unicode MS"/>
          <w:b/>
          <w:color w:val="000000" w:themeColor="text1"/>
          <w:kern w:val="3"/>
          <w:sz w:val="24"/>
          <w:szCs w:val="24"/>
        </w:rPr>
        <w:t>Lock-Up Agreements</w:t>
      </w:r>
    </w:p>
    <w:bookmarkEnd w:id="42"/>
    <w:p w14:paraId="207A968D" w14:textId="77777777" w:rsidR="00900214" w:rsidRDefault="00900214" w:rsidP="00900214">
      <w:pPr>
        <w:ind w:left="720"/>
        <w:jc w:val="both"/>
        <w:rPr>
          <w:rFonts w:ascii="Times New Roman" w:eastAsia="Arial Unicode MS" w:hAnsi="Times New Roman" w:cs="Arial Unicode MS"/>
          <w:color w:val="000000" w:themeColor="text1"/>
          <w:kern w:val="3"/>
          <w:sz w:val="24"/>
          <w:szCs w:val="24"/>
        </w:rPr>
      </w:pPr>
      <w:r>
        <w:rPr>
          <w:rFonts w:ascii="Times New Roman" w:eastAsia="Arial Unicode MS" w:hAnsi="Times New Roman" w:cs="Arial Unicode MS"/>
          <w:color w:val="000000" w:themeColor="text1"/>
          <w:kern w:val="3"/>
          <w:sz w:val="24"/>
          <w:szCs w:val="24"/>
        </w:rPr>
        <w:t xml:space="preserve">Since one of the underwriters’ responsibilities is to stabilize the stock after the IPO is priced, </w:t>
      </w:r>
      <w:bookmarkStart w:id="43" w:name="_Hlk380363"/>
      <w:r>
        <w:rPr>
          <w:rFonts w:ascii="Times New Roman" w:eastAsia="Arial Unicode MS" w:hAnsi="Times New Roman" w:cs="Arial Unicode MS"/>
          <w:color w:val="000000" w:themeColor="text1"/>
          <w:kern w:val="3"/>
          <w:sz w:val="24"/>
          <w:szCs w:val="24"/>
        </w:rPr>
        <w:t xml:space="preserve">the underwriters generally require the management of the issuer and large shareholders to enter into a lock-up agreement.  </w:t>
      </w:r>
      <w:bookmarkEnd w:id="43"/>
      <w:r>
        <w:rPr>
          <w:rFonts w:ascii="Times New Roman" w:eastAsia="Arial Unicode MS" w:hAnsi="Times New Roman" w:cs="Arial Unicode MS"/>
          <w:color w:val="000000" w:themeColor="text1"/>
          <w:kern w:val="3"/>
          <w:sz w:val="24"/>
          <w:szCs w:val="24"/>
        </w:rPr>
        <w:t xml:space="preserve">This agreement is </w:t>
      </w:r>
      <w:bookmarkStart w:id="44" w:name="_Hlk380422"/>
      <w:r>
        <w:rPr>
          <w:rFonts w:ascii="Times New Roman" w:eastAsia="Arial Unicode MS" w:hAnsi="Times New Roman" w:cs="Arial Unicode MS"/>
          <w:color w:val="000000" w:themeColor="text1"/>
          <w:kern w:val="3"/>
          <w:sz w:val="24"/>
          <w:szCs w:val="24"/>
        </w:rPr>
        <w:t>meant to avoid a group of insiders such as management and large holders of stock to dump the stock after the IPO is priced and cause a steep price decline</w:t>
      </w:r>
      <w:bookmarkEnd w:id="44"/>
      <w:r>
        <w:rPr>
          <w:rFonts w:ascii="Times New Roman" w:eastAsia="Arial Unicode MS" w:hAnsi="Times New Roman" w:cs="Arial Unicode MS"/>
          <w:color w:val="000000" w:themeColor="text1"/>
          <w:kern w:val="3"/>
          <w:sz w:val="24"/>
          <w:szCs w:val="24"/>
        </w:rPr>
        <w:t xml:space="preserve">. The lock-up period is typically set at 180 days. </w:t>
      </w:r>
      <w:bookmarkStart w:id="45" w:name="_Hlk380527"/>
      <w:r>
        <w:rPr>
          <w:rFonts w:ascii="Times New Roman" w:eastAsia="Arial Unicode MS" w:hAnsi="Times New Roman" w:cs="Arial Unicode MS"/>
          <w:color w:val="000000" w:themeColor="text1"/>
          <w:kern w:val="3"/>
          <w:sz w:val="24"/>
          <w:szCs w:val="24"/>
        </w:rPr>
        <w:t>This should be enough time to allow the stock to stabilize after the IPO</w:t>
      </w:r>
      <w:bookmarkEnd w:id="45"/>
      <w:r>
        <w:rPr>
          <w:rFonts w:ascii="Times New Roman" w:eastAsia="Arial Unicode MS" w:hAnsi="Times New Roman" w:cs="Arial Unicode MS"/>
          <w:color w:val="000000" w:themeColor="text1"/>
          <w:kern w:val="3"/>
          <w:sz w:val="24"/>
          <w:szCs w:val="24"/>
        </w:rPr>
        <w:t xml:space="preserve">.  </w:t>
      </w:r>
    </w:p>
    <w:p w14:paraId="54092C78" w14:textId="77777777" w:rsidR="00870535" w:rsidRDefault="00870535" w:rsidP="00ED111D">
      <w:pPr>
        <w:widowControl w:val="0"/>
        <w:suppressAutoHyphens/>
        <w:autoSpaceDN w:val="0"/>
        <w:spacing w:after="0" w:line="240" w:lineRule="auto"/>
        <w:jc w:val="both"/>
        <w:textAlignment w:val="baseline"/>
        <w:rPr>
          <w:rFonts w:asciiTheme="majorHAnsi" w:eastAsiaTheme="majorEastAsia" w:hAnsiTheme="majorHAnsi" w:cs="Mangal"/>
          <w:color w:val="2F5496" w:themeColor="accent1" w:themeShade="BF"/>
          <w:kern w:val="3"/>
          <w:sz w:val="32"/>
          <w:szCs w:val="29"/>
        </w:rPr>
      </w:pPr>
    </w:p>
    <w:p w14:paraId="4C6D2623" w14:textId="7FCE0111" w:rsidR="00ED111D" w:rsidRPr="00984EF4" w:rsidRDefault="00870535" w:rsidP="00ED111D">
      <w:pPr>
        <w:widowControl w:val="0"/>
        <w:suppressAutoHyphens/>
        <w:autoSpaceDN w:val="0"/>
        <w:spacing w:after="0" w:line="240" w:lineRule="auto"/>
        <w:jc w:val="both"/>
        <w:textAlignment w:val="baseline"/>
        <w:rPr>
          <w:rFonts w:asciiTheme="majorHAnsi" w:eastAsiaTheme="majorEastAsia" w:hAnsiTheme="majorHAnsi" w:cs="Mangal"/>
          <w:color w:val="2F5496" w:themeColor="accent1" w:themeShade="BF"/>
          <w:kern w:val="3"/>
          <w:sz w:val="32"/>
          <w:szCs w:val="29"/>
        </w:rPr>
      </w:pPr>
      <w:r>
        <w:rPr>
          <w:rFonts w:asciiTheme="majorHAnsi" w:eastAsiaTheme="majorEastAsia" w:hAnsiTheme="majorHAnsi" w:cs="Mangal"/>
          <w:color w:val="2F5496" w:themeColor="accent1" w:themeShade="BF"/>
          <w:kern w:val="3"/>
          <w:sz w:val="32"/>
          <w:szCs w:val="29"/>
        </w:rPr>
        <w:t xml:space="preserve">Merger &amp; Acquisition </w:t>
      </w:r>
      <w:r w:rsidR="00B57D1E">
        <w:rPr>
          <w:rFonts w:asciiTheme="majorHAnsi" w:eastAsiaTheme="majorEastAsia" w:hAnsiTheme="majorHAnsi" w:cs="Mangal"/>
          <w:color w:val="2F5496" w:themeColor="accent1" w:themeShade="BF"/>
          <w:kern w:val="3"/>
          <w:sz w:val="32"/>
          <w:szCs w:val="29"/>
        </w:rPr>
        <w:t>Transaction</w:t>
      </w:r>
    </w:p>
    <w:p w14:paraId="7D03F0B0" w14:textId="77777777" w:rsidR="00C67DDD" w:rsidRDefault="00C67DDD" w:rsidP="00ED111D">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p>
    <w:p w14:paraId="43B41768" w14:textId="77777777" w:rsidR="00841A24" w:rsidRDefault="00841A24" w:rsidP="00841A24">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bookmarkStart w:id="46" w:name="_Hlk535923799"/>
      <w:bookmarkStart w:id="47" w:name="_Hlk535586676"/>
      <w:r>
        <w:rPr>
          <w:rFonts w:ascii="Times New Roman" w:eastAsia="Arial Unicode MS" w:hAnsi="Times New Roman" w:cs="Arial Unicode MS"/>
          <w:b/>
          <w:color w:val="0070C0"/>
          <w:kern w:val="3"/>
          <w:sz w:val="24"/>
          <w:szCs w:val="24"/>
        </w:rPr>
        <w:t>Steps for the Transaction Analysis</w:t>
      </w:r>
    </w:p>
    <w:p w14:paraId="6EF2C29A" w14:textId="77777777" w:rsidR="00841A24" w:rsidRPr="00ED111D" w:rsidRDefault="00841A24" w:rsidP="00841A24">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Prior to any transaction such as an Initial Public Offering, Merger &amp; Acquisition or restructuring, the investment banker that was hired to assist with such transaction needs to conduct a preliminary analysis to determine the offering price range. This analysis involves multiple methods to derive a price range including trading comparable analysis, acquisition comparable analysis, and the discount cash flow method. Chapter 17 goes into an in-depth discussion on these and other methods that are used to value the company. The following shows the step-by-step approach to executing such pre-pricing transaction analysis. </w:t>
      </w:r>
    </w:p>
    <w:p w14:paraId="72207545" w14:textId="77777777" w:rsidR="00841A24" w:rsidRDefault="00841A24" w:rsidP="00841A24">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p>
    <w:p w14:paraId="623FC47C" w14:textId="77777777" w:rsidR="00841A24" w:rsidRDefault="00841A24" w:rsidP="00841A24">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STEP I: Select Comparable Acquisitions</w:t>
      </w:r>
    </w:p>
    <w:p w14:paraId="4361C2F5" w14:textId="77777777" w:rsidR="00841A24" w:rsidRDefault="00841A24" w:rsidP="00841A24">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The Investment banker’s job is first to identify the universe of comparable companies to be used for trading comps. This is always very challenging. The investment banker finds him/herself justifying ways that these companies are truly comparable to the target and its sector. The banker first searches their own database to see if a relevant set of comparable acquisitions exists. He or she then searches various M&amp;A databases, merger proxies of comparable companies that include fairness opinions. It’s important for the banker to learn as much as possible regarding the target company and all the circumstances surrounding the transaction.</w:t>
      </w:r>
    </w:p>
    <w:p w14:paraId="1880F8CA" w14:textId="77777777" w:rsidR="00841A24" w:rsidRDefault="00841A24" w:rsidP="00841A24">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STEP II: Find the Necessary Financial Information Related to the Transaction</w:t>
      </w:r>
    </w:p>
    <w:p w14:paraId="26D5114F" w14:textId="77777777" w:rsidR="00841A24" w:rsidRDefault="00841A24" w:rsidP="00841A24">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Once the peer or comparable companies are identified, the banker gathers as much information as possible for these companies including financial statements, related acquisitions and press releases. Since the analysis needs to be publicly disclosed to justify the fairness opinion, </w:t>
      </w:r>
      <w:proofErr w:type="spellStart"/>
      <w:r>
        <w:rPr>
          <w:rFonts w:ascii="Times New Roman" w:eastAsia="Arial Unicode MS" w:hAnsi="Times New Roman" w:cs="Arial Unicode MS"/>
          <w:kern w:val="3"/>
          <w:sz w:val="24"/>
          <w:szCs w:val="24"/>
        </w:rPr>
        <w:t>its</w:t>
      </w:r>
      <w:proofErr w:type="spellEnd"/>
      <w:r>
        <w:rPr>
          <w:rFonts w:ascii="Times New Roman" w:eastAsia="Arial Unicode MS" w:hAnsi="Times New Roman" w:cs="Arial Unicode MS"/>
          <w:kern w:val="3"/>
          <w:sz w:val="24"/>
          <w:szCs w:val="24"/>
        </w:rPr>
        <w:t xml:space="preserve"> important to note that the banker only discloses information that is </w:t>
      </w:r>
      <w:r>
        <w:rPr>
          <w:rFonts w:ascii="Times New Roman" w:eastAsia="Arial Unicode MS" w:hAnsi="Times New Roman" w:cs="Arial Unicode MS"/>
          <w:kern w:val="3"/>
          <w:sz w:val="24"/>
          <w:szCs w:val="24"/>
        </w:rPr>
        <w:lastRenderedPageBreak/>
        <w:t>publicly available.  When using an M&amp;A database that includes private companies, it is very difficult to obtain or disclose the information if available.</w:t>
      </w:r>
    </w:p>
    <w:p w14:paraId="5705D8D1" w14:textId="77777777" w:rsidR="00841A24" w:rsidRDefault="00841A24" w:rsidP="00841A24">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 xml:space="preserve">STEP III: Review Key Multiples for Trading and Transaction Multiples </w:t>
      </w:r>
    </w:p>
    <w:p w14:paraId="165BB0F4" w14:textId="091CEEA9" w:rsidR="00841A24" w:rsidRDefault="00841A24" w:rsidP="00841A24">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Once all the relevant information is screened and agreed upon internally that these publicly traded companies are truly comparable to the target, the banker then spreads all the information of these companies and determines the multiples ratios such as </w:t>
      </w:r>
      <w:bookmarkStart w:id="48" w:name="_Hlk382058"/>
      <w:r>
        <w:rPr>
          <w:rFonts w:ascii="Times New Roman" w:eastAsia="Arial Unicode MS" w:hAnsi="Times New Roman" w:cs="Arial Unicode MS"/>
          <w:kern w:val="3"/>
          <w:sz w:val="24"/>
          <w:szCs w:val="24"/>
        </w:rPr>
        <w:t xml:space="preserve">Enterprise Value to EBITDA, Enterprise Value to Revenue or even Enterprise Value to Net Income. </w:t>
      </w:r>
      <w:bookmarkEnd w:id="48"/>
      <w:r>
        <w:rPr>
          <w:rFonts w:ascii="Times New Roman" w:eastAsia="Arial Unicode MS" w:hAnsi="Times New Roman" w:cs="Arial Unicode MS"/>
          <w:kern w:val="3"/>
          <w:sz w:val="24"/>
          <w:szCs w:val="24"/>
        </w:rPr>
        <w:t>Figure 6.5 below shows a comprehensive trading comparable analysis in the hotel sector.</w:t>
      </w:r>
    </w:p>
    <w:p w14:paraId="38B45433" w14:textId="37657420" w:rsidR="00581386" w:rsidRDefault="00581386" w:rsidP="00581386">
      <w:pPr>
        <w:widowControl w:val="0"/>
        <w:suppressAutoHyphens/>
        <w:autoSpaceDN w:val="0"/>
        <w:spacing w:after="0" w:line="240" w:lineRule="auto"/>
        <w:ind w:firstLine="720"/>
        <w:jc w:val="both"/>
        <w:textAlignment w:val="baseline"/>
        <w:rPr>
          <w:rFonts w:ascii="Times New Roman" w:eastAsia="Arial Unicode MS" w:hAnsi="Times New Roman" w:cs="Arial Unicode MS"/>
          <w:b/>
          <w:color w:val="FF0000"/>
          <w:kern w:val="3"/>
          <w:sz w:val="24"/>
          <w:szCs w:val="24"/>
        </w:rPr>
      </w:pPr>
      <w:r w:rsidRPr="00391404">
        <w:rPr>
          <w:rFonts w:ascii="Times New Roman" w:eastAsia="Arial Unicode MS" w:hAnsi="Times New Roman" w:cs="Arial Unicode MS"/>
          <w:b/>
          <w:color w:val="FF0000"/>
          <w:kern w:val="3"/>
          <w:sz w:val="24"/>
          <w:szCs w:val="24"/>
        </w:rPr>
        <w:t xml:space="preserve">Insert Figure </w:t>
      </w:r>
      <w:r w:rsidR="00750E50">
        <w:rPr>
          <w:rFonts w:ascii="Times New Roman" w:eastAsia="Arial Unicode MS" w:hAnsi="Times New Roman" w:cs="Arial Unicode MS"/>
          <w:b/>
          <w:color w:val="FF0000"/>
          <w:kern w:val="3"/>
          <w:sz w:val="24"/>
          <w:szCs w:val="24"/>
        </w:rPr>
        <w:t>6.5</w:t>
      </w:r>
    </w:p>
    <w:bookmarkEnd w:id="46"/>
    <w:p w14:paraId="0A01D2A9" w14:textId="4F2FF87D" w:rsidR="008F2206" w:rsidRDefault="003F341A" w:rsidP="00581386">
      <w:pPr>
        <w:widowControl w:val="0"/>
        <w:suppressAutoHyphens/>
        <w:autoSpaceDN w:val="0"/>
        <w:spacing w:after="0" w:line="240" w:lineRule="auto"/>
        <w:ind w:firstLine="720"/>
        <w:jc w:val="both"/>
        <w:textAlignment w:val="baseline"/>
        <w:rPr>
          <w:rFonts w:ascii="Times New Roman" w:eastAsia="Arial Unicode MS" w:hAnsi="Times New Roman" w:cs="Arial Unicode MS"/>
          <w:b/>
          <w:color w:val="FF0000"/>
          <w:kern w:val="3"/>
          <w:sz w:val="24"/>
          <w:szCs w:val="24"/>
        </w:rPr>
      </w:pPr>
      <w:r w:rsidRPr="003F341A">
        <w:rPr>
          <w:noProof/>
        </w:rPr>
        <w:drawing>
          <wp:inline distT="0" distB="0" distL="0" distR="0" wp14:anchorId="59CB7D5B" wp14:editId="209AE469">
            <wp:extent cx="5943600" cy="2214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214245"/>
                    </a:xfrm>
                    <a:prstGeom prst="rect">
                      <a:avLst/>
                    </a:prstGeom>
                    <a:noFill/>
                    <a:ln>
                      <a:noFill/>
                    </a:ln>
                  </pic:spPr>
                </pic:pic>
              </a:graphicData>
            </a:graphic>
          </wp:inline>
        </w:drawing>
      </w:r>
    </w:p>
    <w:p w14:paraId="500EBE68" w14:textId="77777777" w:rsidR="00C43ADB" w:rsidRDefault="00C43ADB" w:rsidP="000615CF">
      <w:pPr>
        <w:ind w:left="720"/>
        <w:jc w:val="both"/>
        <w:rPr>
          <w:rFonts w:ascii="Times New Roman" w:eastAsia="Arial Unicode MS" w:hAnsi="Times New Roman" w:cs="Arial Unicode MS"/>
          <w:kern w:val="3"/>
          <w:sz w:val="24"/>
          <w:szCs w:val="24"/>
        </w:rPr>
      </w:pPr>
    </w:p>
    <w:p w14:paraId="73B25512" w14:textId="6D26F0D9" w:rsidR="003A61E5" w:rsidRDefault="00BA7C32" w:rsidP="000615CF">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The next set of comparable analysis is to compare the target company to other acquisition related transactions.  For each comparable company, the banker writes a brief description of the acquisition that occurred and why it is relevant to the target company. Figure 6.6 below shows recent acquisitions of hotel companies</w:t>
      </w:r>
      <w:r w:rsidR="002518F5">
        <w:rPr>
          <w:rFonts w:ascii="Times New Roman" w:eastAsia="Arial Unicode MS" w:hAnsi="Times New Roman" w:cs="Arial Unicode MS"/>
          <w:kern w:val="3"/>
          <w:sz w:val="24"/>
          <w:szCs w:val="24"/>
        </w:rPr>
        <w:t>.</w:t>
      </w:r>
      <w:r w:rsidR="00F804A3">
        <w:rPr>
          <w:rFonts w:ascii="Times New Roman" w:eastAsia="Arial Unicode MS" w:hAnsi="Times New Roman" w:cs="Arial Unicode MS"/>
          <w:kern w:val="3"/>
          <w:sz w:val="24"/>
          <w:szCs w:val="24"/>
        </w:rPr>
        <w:t xml:space="preserve"> </w:t>
      </w:r>
    </w:p>
    <w:p w14:paraId="5E1659FD" w14:textId="77777777" w:rsidR="00C43ADB" w:rsidRDefault="00C43ADB" w:rsidP="0079297D">
      <w:pPr>
        <w:widowControl w:val="0"/>
        <w:suppressAutoHyphens/>
        <w:autoSpaceDN w:val="0"/>
        <w:spacing w:after="0" w:line="240" w:lineRule="auto"/>
        <w:ind w:firstLine="720"/>
        <w:jc w:val="both"/>
        <w:textAlignment w:val="baseline"/>
        <w:rPr>
          <w:rFonts w:ascii="Times New Roman" w:eastAsia="Arial Unicode MS" w:hAnsi="Times New Roman" w:cs="Arial Unicode MS"/>
          <w:b/>
          <w:color w:val="FF0000"/>
          <w:kern w:val="3"/>
          <w:sz w:val="24"/>
          <w:szCs w:val="24"/>
        </w:rPr>
      </w:pPr>
    </w:p>
    <w:p w14:paraId="2ABE6F99" w14:textId="5711B9EB" w:rsidR="0079297D" w:rsidRDefault="0079297D" w:rsidP="0079297D">
      <w:pPr>
        <w:widowControl w:val="0"/>
        <w:suppressAutoHyphens/>
        <w:autoSpaceDN w:val="0"/>
        <w:spacing w:after="0" w:line="240" w:lineRule="auto"/>
        <w:ind w:firstLine="720"/>
        <w:jc w:val="both"/>
        <w:textAlignment w:val="baseline"/>
        <w:rPr>
          <w:rFonts w:ascii="Times New Roman" w:eastAsia="Arial Unicode MS" w:hAnsi="Times New Roman" w:cs="Arial Unicode MS"/>
          <w:b/>
          <w:color w:val="FF0000"/>
          <w:kern w:val="3"/>
          <w:sz w:val="24"/>
          <w:szCs w:val="24"/>
        </w:rPr>
      </w:pPr>
      <w:r w:rsidRPr="00391404">
        <w:rPr>
          <w:rFonts w:ascii="Times New Roman" w:eastAsia="Arial Unicode MS" w:hAnsi="Times New Roman" w:cs="Arial Unicode MS"/>
          <w:b/>
          <w:color w:val="FF0000"/>
          <w:kern w:val="3"/>
          <w:sz w:val="24"/>
          <w:szCs w:val="24"/>
        </w:rPr>
        <w:t xml:space="preserve">Insert Figure </w:t>
      </w:r>
      <w:r w:rsidR="003F341A">
        <w:rPr>
          <w:rFonts w:ascii="Times New Roman" w:eastAsia="Arial Unicode MS" w:hAnsi="Times New Roman" w:cs="Arial Unicode MS"/>
          <w:b/>
          <w:color w:val="FF0000"/>
          <w:kern w:val="3"/>
          <w:sz w:val="24"/>
          <w:szCs w:val="24"/>
        </w:rPr>
        <w:t>6.6</w:t>
      </w:r>
    </w:p>
    <w:p w14:paraId="16BD66B3" w14:textId="0AED7F80" w:rsidR="0079297D" w:rsidRDefault="003F5C16" w:rsidP="000615CF">
      <w:pPr>
        <w:ind w:left="720"/>
        <w:jc w:val="both"/>
        <w:rPr>
          <w:rFonts w:ascii="Times New Roman" w:eastAsia="Arial Unicode MS" w:hAnsi="Times New Roman" w:cs="Arial Unicode MS"/>
          <w:kern w:val="3"/>
          <w:sz w:val="24"/>
          <w:szCs w:val="24"/>
        </w:rPr>
      </w:pPr>
      <w:r w:rsidRPr="003F5C16">
        <w:rPr>
          <w:noProof/>
        </w:rPr>
        <w:lastRenderedPageBreak/>
        <w:drawing>
          <wp:inline distT="0" distB="0" distL="0" distR="0" wp14:anchorId="5487877D" wp14:editId="18392571">
            <wp:extent cx="5943600" cy="28702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870200"/>
                    </a:xfrm>
                    <a:prstGeom prst="rect">
                      <a:avLst/>
                    </a:prstGeom>
                    <a:noFill/>
                    <a:ln>
                      <a:noFill/>
                    </a:ln>
                  </pic:spPr>
                </pic:pic>
              </a:graphicData>
            </a:graphic>
          </wp:inline>
        </w:drawing>
      </w:r>
    </w:p>
    <w:bookmarkEnd w:id="47"/>
    <w:p w14:paraId="6F1F38FF"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STEP IV: Comparable and Benchmark Analysis</w:t>
      </w:r>
    </w:p>
    <w:p w14:paraId="1BDA6FF9" w14:textId="77777777" w:rsidR="00C94592" w:rsidRDefault="00C94592" w:rsidP="00C94592">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After the trading and acquisition comparable analytical methods are done and justified as truly comparable, the banker </w:t>
      </w:r>
      <w:bookmarkStart w:id="49" w:name="_Hlk382421"/>
      <w:r>
        <w:rPr>
          <w:rFonts w:ascii="Times New Roman" w:eastAsia="Arial Unicode MS" w:hAnsi="Times New Roman" w:cs="Arial Unicode MS"/>
          <w:kern w:val="3"/>
          <w:sz w:val="24"/>
          <w:szCs w:val="24"/>
        </w:rPr>
        <w:t>sets the average or the range of multiples that are used to value the target company. The average or range of multiples are used as an industry benchmark and the basis for analyzing the target company</w:t>
      </w:r>
      <w:bookmarkEnd w:id="49"/>
      <w:r>
        <w:rPr>
          <w:rFonts w:ascii="Times New Roman" w:eastAsia="Arial Unicode MS" w:hAnsi="Times New Roman" w:cs="Arial Unicode MS"/>
          <w:kern w:val="3"/>
          <w:sz w:val="24"/>
          <w:szCs w:val="24"/>
        </w:rPr>
        <w:t xml:space="preserve">. </w:t>
      </w:r>
    </w:p>
    <w:p w14:paraId="26065523"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STEP V: Determine Valuation</w:t>
      </w:r>
    </w:p>
    <w:p w14:paraId="5BFCE399" w14:textId="77777777" w:rsidR="00C94592" w:rsidRDefault="00C94592" w:rsidP="00C94592">
      <w:pPr>
        <w:ind w:left="720"/>
        <w:jc w:val="both"/>
        <w:rPr>
          <w:rFonts w:ascii="Times New Roman" w:eastAsia="Arial Unicode MS" w:hAnsi="Times New Roman" w:cs="Arial Unicode MS"/>
          <w:kern w:val="3"/>
          <w:sz w:val="24"/>
          <w:szCs w:val="24"/>
        </w:rPr>
      </w:pPr>
      <w:bookmarkStart w:id="50" w:name="_Hlk382568"/>
      <w:r>
        <w:rPr>
          <w:rFonts w:ascii="Times New Roman" w:eastAsia="Arial Unicode MS" w:hAnsi="Times New Roman" w:cs="Arial Unicode MS"/>
          <w:kern w:val="3"/>
          <w:sz w:val="24"/>
          <w:szCs w:val="24"/>
        </w:rPr>
        <w:t>The mean (averages) and median multiples for both analytical approaches are used to value the relevant target company</w:t>
      </w:r>
      <w:bookmarkEnd w:id="50"/>
      <w:r>
        <w:rPr>
          <w:rFonts w:ascii="Times New Roman" w:eastAsia="Arial Unicode MS" w:hAnsi="Times New Roman" w:cs="Arial Unicode MS"/>
          <w:kern w:val="3"/>
          <w:sz w:val="24"/>
          <w:szCs w:val="24"/>
        </w:rPr>
        <w:t xml:space="preserve">. </w:t>
      </w:r>
      <w:bookmarkStart w:id="51" w:name="_Hlk382587"/>
      <w:r>
        <w:rPr>
          <w:rFonts w:ascii="Times New Roman" w:eastAsia="Arial Unicode MS" w:hAnsi="Times New Roman" w:cs="Arial Unicode MS"/>
          <w:kern w:val="3"/>
          <w:sz w:val="24"/>
          <w:szCs w:val="24"/>
        </w:rPr>
        <w:t xml:space="preserve">Figures 5.8 and 5.9 </w:t>
      </w:r>
      <w:bookmarkEnd w:id="51"/>
      <w:r>
        <w:rPr>
          <w:rFonts w:ascii="Times New Roman" w:eastAsia="Arial Unicode MS" w:hAnsi="Times New Roman" w:cs="Arial Unicode MS"/>
          <w:kern w:val="3"/>
          <w:sz w:val="24"/>
          <w:szCs w:val="24"/>
        </w:rPr>
        <w:t xml:space="preserve">show that the </w:t>
      </w:r>
      <w:bookmarkStart w:id="52" w:name="_Hlk382602"/>
      <w:r>
        <w:rPr>
          <w:rFonts w:ascii="Times New Roman" w:eastAsia="Arial Unicode MS" w:hAnsi="Times New Roman" w:cs="Arial Unicode MS"/>
          <w:kern w:val="3"/>
          <w:sz w:val="24"/>
          <w:szCs w:val="24"/>
        </w:rPr>
        <w:t>averages of the hotels sector for trading comparable and acquisition comparable are 14.6x and 14.3x EBITDA multiples respectively.  These multiples ranging from 14-15x EBITDA will then be used to calculate the relevant hotel company that is either an IPO or M&amp;A candidate</w:t>
      </w:r>
      <w:bookmarkEnd w:id="52"/>
      <w:r>
        <w:rPr>
          <w:rFonts w:ascii="Times New Roman" w:eastAsia="Arial Unicode MS" w:hAnsi="Times New Roman" w:cs="Arial Unicode MS"/>
          <w:kern w:val="3"/>
          <w:sz w:val="24"/>
          <w:szCs w:val="24"/>
        </w:rPr>
        <w:t xml:space="preserve">.  </w:t>
      </w:r>
    </w:p>
    <w:p w14:paraId="0FB45427" w14:textId="77777777" w:rsidR="00C94592" w:rsidRDefault="00C94592" w:rsidP="00C94592">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p>
    <w:p w14:paraId="140D2168" w14:textId="77777777" w:rsidR="00C94592" w:rsidRDefault="00C94592" w:rsidP="00C94592">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Mergers &amp; Acquisitions</w:t>
      </w:r>
    </w:p>
    <w:p w14:paraId="56C73FF6" w14:textId="77777777" w:rsidR="00C94592" w:rsidRDefault="00C94592" w:rsidP="00C94592">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The sale of a company, division, or business is a major event for its owners. It is an intense process with very high stakes. The seller spends time with their banker (sell-side advisor) examining various strategic alternatives including selling all or part of the company, an initial public offering or doing nothing. Once the decision is made to sell, the bankers seeks to achieve the perfect balance between high valuation and speedy execution. The banker’s responsibility is to identify the process that suits the seller’s priorities. They could run a </w:t>
      </w:r>
      <w:r w:rsidRPr="00C16607">
        <w:rPr>
          <w:rFonts w:ascii="Times New Roman" w:eastAsia="Arial Unicode MS" w:hAnsi="Times New Roman" w:cs="Arial Unicode MS"/>
          <w:b/>
          <w:i/>
          <w:kern w:val="3"/>
          <w:sz w:val="24"/>
          <w:szCs w:val="24"/>
        </w:rPr>
        <w:t>broad auction</w:t>
      </w:r>
      <w:r>
        <w:rPr>
          <w:rFonts w:ascii="Times New Roman" w:eastAsia="Arial Unicode MS" w:hAnsi="Times New Roman" w:cs="Arial Unicode MS"/>
          <w:kern w:val="3"/>
          <w:sz w:val="24"/>
          <w:szCs w:val="24"/>
        </w:rPr>
        <w:t xml:space="preserve"> which is used to reach out to as many potential interested parties as possible, go to </w:t>
      </w:r>
      <w:r w:rsidRPr="00C16607">
        <w:rPr>
          <w:rFonts w:ascii="Times New Roman" w:eastAsia="Arial Unicode MS" w:hAnsi="Times New Roman" w:cs="Arial Unicode MS"/>
          <w:b/>
          <w:i/>
          <w:kern w:val="3"/>
          <w:sz w:val="24"/>
          <w:szCs w:val="24"/>
        </w:rPr>
        <w:t>targeted buyers</w:t>
      </w:r>
      <w:r>
        <w:rPr>
          <w:rFonts w:ascii="Times New Roman" w:eastAsia="Arial Unicode MS" w:hAnsi="Times New Roman" w:cs="Arial Unicode MS"/>
          <w:kern w:val="3"/>
          <w:sz w:val="24"/>
          <w:szCs w:val="24"/>
        </w:rPr>
        <w:t xml:space="preserve"> or zero in on a specific buyer for a </w:t>
      </w:r>
      <w:r w:rsidRPr="00C16607">
        <w:rPr>
          <w:rFonts w:ascii="Times New Roman" w:eastAsia="Arial Unicode MS" w:hAnsi="Times New Roman" w:cs="Arial Unicode MS"/>
          <w:b/>
          <w:i/>
          <w:kern w:val="3"/>
          <w:sz w:val="24"/>
          <w:szCs w:val="24"/>
        </w:rPr>
        <w:t>negotiated sale</w:t>
      </w:r>
      <w:r>
        <w:rPr>
          <w:rFonts w:ascii="Times New Roman" w:eastAsia="Arial Unicode MS" w:hAnsi="Times New Roman" w:cs="Arial Unicode MS"/>
          <w:b/>
          <w:i/>
          <w:kern w:val="3"/>
          <w:sz w:val="24"/>
          <w:szCs w:val="24"/>
        </w:rPr>
        <w:t xml:space="preserve">. </w:t>
      </w:r>
      <w:r>
        <w:rPr>
          <w:rFonts w:ascii="Times New Roman" w:eastAsia="Arial Unicode MS" w:hAnsi="Times New Roman" w:cs="Arial Unicode MS"/>
          <w:kern w:val="3"/>
          <w:sz w:val="24"/>
          <w:szCs w:val="24"/>
        </w:rPr>
        <w:t xml:space="preserve">From an analysis point of view, the sell-side assignment requires the team to run a comprehensive valuation of the target using the various methodologies that were discussed earlier in this chapter and more expansively in Chapter 17. The team also needs to run various scenarios depending on who the buyers are including a private equity firm or another strategic entity. These valuations are used to establish the seller’s price expectation which should be in line with the buyer’s expectations. Chapter 19 will run various valuation scenarios based on buyer </w:t>
      </w:r>
      <w:r>
        <w:rPr>
          <w:rFonts w:ascii="Times New Roman" w:eastAsia="Arial Unicode MS" w:hAnsi="Times New Roman" w:cs="Arial Unicode MS"/>
          <w:kern w:val="3"/>
          <w:sz w:val="24"/>
          <w:szCs w:val="24"/>
        </w:rPr>
        <w:lastRenderedPageBreak/>
        <w:t xml:space="preserve">expectation including an accretion/dilution analysis for publicly traded companies that buy other publicly traded companies. </w:t>
      </w:r>
    </w:p>
    <w:p w14:paraId="34EDAE83" w14:textId="77777777" w:rsidR="00C94592" w:rsidRDefault="00C94592" w:rsidP="00C94592">
      <w:pPr>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The following outlines the process laid out by the Securities and Exchange Commission (SEC) of selling a publicly traded company: </w:t>
      </w:r>
    </w:p>
    <w:p w14:paraId="1D4CB1E2" w14:textId="77777777" w:rsidR="00C94592" w:rsidRDefault="00C94592" w:rsidP="00C94592">
      <w:pPr>
        <w:jc w:val="both"/>
        <w:rPr>
          <w:rFonts w:ascii="Times New Roman" w:eastAsia="Arial Unicode MS" w:hAnsi="Times New Roman" w:cs="Arial Unicode MS"/>
          <w:kern w:val="3"/>
          <w:sz w:val="24"/>
          <w:szCs w:val="24"/>
        </w:rPr>
      </w:pPr>
    </w:p>
    <w:p w14:paraId="2250D9DC"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FIRST ROUND</w:t>
      </w:r>
    </w:p>
    <w:p w14:paraId="12C28D97" w14:textId="77777777" w:rsidR="00C94592" w:rsidRDefault="00C94592" w:rsidP="00C94592">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 xml:space="preserve">Reaching out to </w:t>
      </w:r>
      <w:r w:rsidRPr="005C411E">
        <w:rPr>
          <w:rFonts w:ascii="Times New Roman" w:eastAsia="Arial Unicode MS" w:hAnsi="Times New Roman" w:cs="Arial Unicode MS"/>
          <w:b/>
          <w:kern w:val="3"/>
          <w:sz w:val="24"/>
          <w:szCs w:val="24"/>
          <w:u w:val="single"/>
        </w:rPr>
        <w:t>Prospective Buyers</w:t>
      </w:r>
      <w:r>
        <w:rPr>
          <w:rFonts w:ascii="Times New Roman" w:eastAsia="Arial Unicode MS" w:hAnsi="Times New Roman" w:cs="Arial Unicode MS"/>
          <w:kern w:val="3"/>
          <w:sz w:val="24"/>
          <w:szCs w:val="24"/>
        </w:rPr>
        <w:t xml:space="preserve">: The banker contacts prospective buyers which marks the official launch of the auction process. The sell-side banker will contact their network of investors with an accompanied one to two-page teaser and the Confidentiality Agreement (CA).  </w:t>
      </w:r>
    </w:p>
    <w:p w14:paraId="4CBE83F7" w14:textId="77777777" w:rsidR="00C94592" w:rsidRDefault="00C94592" w:rsidP="00C94592">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Execute the C</w:t>
      </w:r>
      <w:r w:rsidRPr="008F7DCA">
        <w:rPr>
          <w:rFonts w:ascii="Times New Roman" w:eastAsia="Arial Unicode MS" w:hAnsi="Times New Roman" w:cs="Arial Unicode MS"/>
          <w:b/>
          <w:kern w:val="3"/>
          <w:sz w:val="24"/>
          <w:szCs w:val="24"/>
          <w:u w:val="single"/>
        </w:rPr>
        <w:t>onfidentiality Agreement (CA</w:t>
      </w:r>
      <w:r w:rsidRPr="00225150">
        <w:rPr>
          <w:rFonts w:ascii="Times New Roman" w:eastAsia="Arial Unicode MS" w:hAnsi="Times New Roman" w:cs="Arial Unicode MS"/>
          <w:b/>
          <w:kern w:val="3"/>
          <w:sz w:val="24"/>
          <w:szCs w:val="24"/>
        </w:rPr>
        <w:t>):</w:t>
      </w:r>
      <w:r>
        <w:rPr>
          <w:rFonts w:ascii="Times New Roman" w:eastAsia="Arial Unicode MS" w:hAnsi="Times New Roman" w:cs="Arial Unicode MS"/>
          <w:kern w:val="3"/>
          <w:sz w:val="24"/>
          <w:szCs w:val="24"/>
        </w:rPr>
        <w:t xml:space="preserve"> The CA is distributed to interested parties’ legal counsel for their review.  After going back and forth on comments and negotiations, the CA is then executed. Following the execution of the CA, the sell-side banker </w:t>
      </w:r>
      <w:proofErr w:type="gramStart"/>
      <w:r>
        <w:rPr>
          <w:rFonts w:ascii="Times New Roman" w:eastAsia="Arial Unicode MS" w:hAnsi="Times New Roman" w:cs="Arial Unicode MS"/>
          <w:kern w:val="3"/>
          <w:sz w:val="24"/>
          <w:szCs w:val="24"/>
        </w:rPr>
        <w:t>is allowed to</w:t>
      </w:r>
      <w:proofErr w:type="gramEnd"/>
      <w:r>
        <w:rPr>
          <w:rFonts w:ascii="Times New Roman" w:eastAsia="Arial Unicode MS" w:hAnsi="Times New Roman" w:cs="Arial Unicode MS"/>
          <w:kern w:val="3"/>
          <w:sz w:val="24"/>
          <w:szCs w:val="24"/>
        </w:rPr>
        <w:t xml:space="preserve"> distribute the Confidential Information Memorandum (CIM) and a letter outlining the bidding process </w:t>
      </w:r>
      <w:r w:rsidRPr="00301C9E">
        <w:rPr>
          <w:rFonts w:ascii="Times New Roman" w:eastAsia="Arial Unicode MS" w:hAnsi="Times New Roman" w:cs="Arial Unicode MS"/>
          <w:b/>
          <w:kern w:val="3"/>
          <w:sz w:val="24"/>
          <w:szCs w:val="24"/>
        </w:rPr>
        <w:t>(Initial Bid Procedures Letter).</w:t>
      </w:r>
      <w:r>
        <w:rPr>
          <w:rFonts w:ascii="Times New Roman" w:eastAsia="Arial Unicode MS" w:hAnsi="Times New Roman" w:cs="Arial Unicode MS"/>
          <w:kern w:val="3"/>
          <w:sz w:val="24"/>
          <w:szCs w:val="24"/>
        </w:rPr>
        <w:t xml:space="preserve"> </w:t>
      </w:r>
    </w:p>
    <w:p w14:paraId="1B1318D8" w14:textId="71A3F470" w:rsidR="009859A4" w:rsidRPr="003E069A" w:rsidRDefault="009859A4" w:rsidP="009859A4">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Distribution of CIM and Initial Bid Procedures Letter:</w:t>
      </w:r>
      <w:r>
        <w:rPr>
          <w:rFonts w:ascii="Times New Roman" w:eastAsia="Arial Unicode MS" w:hAnsi="Times New Roman" w:cs="Arial Unicode MS"/>
          <w:kern w:val="3"/>
          <w:sz w:val="24"/>
          <w:szCs w:val="24"/>
        </w:rPr>
        <w:t xml:space="preserve"> Once the buyers receive the CIM, typically they have three to four weeks to review it before submitting their initial non-binding bid. Their </w:t>
      </w:r>
      <w:bookmarkStart w:id="53" w:name="_Hlk451144"/>
      <w:r>
        <w:rPr>
          <w:rFonts w:ascii="Times New Roman" w:eastAsia="Arial Unicode MS" w:hAnsi="Times New Roman" w:cs="Arial Unicode MS"/>
          <w:kern w:val="3"/>
          <w:sz w:val="24"/>
          <w:szCs w:val="24"/>
        </w:rPr>
        <w:t xml:space="preserve">review includes an analysis of the target and the industry sector that they are in. The buyer’s team of analysts will also run a financial analysis focusing on their historical performance and lay out the other investment opportunities available to them. During this period, the sell-side banker is in constant communication with the prospective buyers to provide additional supporting information. </w:t>
      </w:r>
      <w:bookmarkEnd w:id="53"/>
      <w:r>
        <w:rPr>
          <w:rFonts w:ascii="Times New Roman" w:eastAsia="Arial Unicode MS" w:hAnsi="Times New Roman" w:cs="Arial Unicode MS"/>
          <w:kern w:val="3"/>
          <w:sz w:val="24"/>
          <w:szCs w:val="24"/>
        </w:rPr>
        <w:t xml:space="preserve">Sometimes buyers, especially buyers that are very interested, will hire their own advisors (buy-side advisors) to assist them with the process primarily with the valuations and how to access financing.  </w:t>
      </w:r>
    </w:p>
    <w:p w14:paraId="08D29148"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p>
    <w:p w14:paraId="630DA986" w14:textId="77777777" w:rsidR="007C2941" w:rsidRDefault="007C2941" w:rsidP="007C2941">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INITIAL BID</w:t>
      </w:r>
    </w:p>
    <w:p w14:paraId="1E2D5DC9" w14:textId="77777777" w:rsidR="007C2941" w:rsidRDefault="007C2941" w:rsidP="007C2941">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The Initial Bid Procedures Letter includes the deadline for the buyers to submit their non-binding bid. </w:t>
      </w:r>
      <w:r w:rsidRPr="00C95651">
        <w:rPr>
          <w:rFonts w:ascii="Times New Roman" w:eastAsia="Arial Unicode MS" w:hAnsi="Times New Roman" w:cs="Arial Unicode MS"/>
          <w:b/>
          <w:kern w:val="3"/>
          <w:sz w:val="24"/>
          <w:szCs w:val="24"/>
        </w:rPr>
        <w:t>The letter also outlines the information that the buyers need to submit with their bid including their initial purchase price and the composition of payment such as all cash, stock, or a combination of the two.</w:t>
      </w:r>
      <w:r>
        <w:rPr>
          <w:rFonts w:ascii="Times New Roman" w:eastAsia="Arial Unicode MS" w:hAnsi="Times New Roman" w:cs="Arial Unicode MS"/>
          <w:kern w:val="3"/>
          <w:sz w:val="24"/>
          <w:szCs w:val="24"/>
        </w:rPr>
        <w:t xml:space="preserve"> They typically are also asked to show how they derived their bid price. The information provided should also include the structure (Transaction Sources &amp; Uses). The Transaction Sources &amp; Uses shows how the target company will be purchased: Debt and/or equity. Other information</w:t>
      </w:r>
      <w:bookmarkStart w:id="54" w:name="_GoBack"/>
      <w:bookmarkEnd w:id="54"/>
      <w:r>
        <w:rPr>
          <w:rFonts w:ascii="Times New Roman" w:eastAsia="Arial Unicode MS" w:hAnsi="Times New Roman" w:cs="Arial Unicode MS"/>
          <w:kern w:val="3"/>
          <w:sz w:val="24"/>
          <w:szCs w:val="24"/>
        </w:rPr>
        <w:t xml:space="preserve"> needed by the sell-side company are the buyer’s business plan including the treatment of the management and employees, timing of completing the transaction and additional diligence that needs to be performed. A timing sheet will also document other required approvals and timing of due diligence before the final bid is presented.</w:t>
      </w:r>
    </w:p>
    <w:p w14:paraId="721EE5F6" w14:textId="77777777" w:rsidR="009D5B98" w:rsidRDefault="009D5B98" w:rsidP="009D5B98">
      <w:pPr>
        <w:ind w:left="720"/>
        <w:jc w:val="both"/>
        <w:rPr>
          <w:rFonts w:ascii="Times New Roman" w:eastAsia="Arial Unicode MS" w:hAnsi="Times New Roman" w:cs="Arial Unicode MS"/>
          <w:kern w:val="3"/>
          <w:sz w:val="24"/>
          <w:szCs w:val="24"/>
        </w:rPr>
      </w:pPr>
      <w:r w:rsidRPr="00EA12E6">
        <w:rPr>
          <w:rFonts w:ascii="Times New Roman" w:eastAsia="Arial Unicode MS" w:hAnsi="Times New Roman" w:cs="Arial Unicode MS"/>
          <w:b/>
          <w:kern w:val="3"/>
          <w:sz w:val="24"/>
          <w:szCs w:val="24"/>
          <w:u w:val="single"/>
        </w:rPr>
        <w:t>Preparation of Management Presentation</w:t>
      </w:r>
      <w:r>
        <w:rPr>
          <w:rFonts w:ascii="Times New Roman" w:eastAsia="Arial Unicode MS" w:hAnsi="Times New Roman" w:cs="Arial Unicode MS"/>
          <w:kern w:val="3"/>
          <w:sz w:val="24"/>
          <w:szCs w:val="24"/>
        </w:rPr>
        <w:t xml:space="preserve">: During this period, the sell-side management prepares a presentation – typically a PowerPoint slide show – outlining specific points of emphasis. Included are the a) executive summary, b) industry overview, c) Company </w:t>
      </w:r>
      <w:r>
        <w:rPr>
          <w:rFonts w:ascii="Times New Roman" w:eastAsia="Arial Unicode MS" w:hAnsi="Times New Roman" w:cs="Arial Unicode MS"/>
          <w:kern w:val="3"/>
          <w:sz w:val="24"/>
          <w:szCs w:val="24"/>
        </w:rPr>
        <w:lastRenderedPageBreak/>
        <w:t xml:space="preserve">Overview, d) Operations Overview, and e) financial Overview. This presentation is in line with the CIM provided earlier, but this time the management presents it in person or via conference call among their business associates. </w:t>
      </w:r>
    </w:p>
    <w:p w14:paraId="0D4B123E" w14:textId="77777777" w:rsidR="00C94592" w:rsidRDefault="00C94592" w:rsidP="00C94592">
      <w:pPr>
        <w:ind w:left="720"/>
        <w:jc w:val="both"/>
        <w:rPr>
          <w:rFonts w:ascii="Times New Roman" w:eastAsia="Arial Unicode MS" w:hAnsi="Times New Roman" w:cs="Arial Unicode MS"/>
          <w:kern w:val="3"/>
          <w:sz w:val="24"/>
          <w:szCs w:val="24"/>
        </w:rPr>
      </w:pPr>
      <w:r w:rsidRPr="00992B5C">
        <w:rPr>
          <w:rFonts w:ascii="Times New Roman" w:eastAsia="Arial Unicode MS" w:hAnsi="Times New Roman" w:cs="Arial Unicode MS"/>
          <w:b/>
          <w:kern w:val="3"/>
          <w:sz w:val="24"/>
          <w:szCs w:val="24"/>
          <w:u w:val="single"/>
        </w:rPr>
        <w:t>Setting up the Data Room:</w:t>
      </w:r>
      <w:r>
        <w:rPr>
          <w:rFonts w:ascii="Times New Roman" w:eastAsia="Arial Unicode MS" w:hAnsi="Times New Roman" w:cs="Arial Unicode MS"/>
          <w:kern w:val="3"/>
          <w:sz w:val="24"/>
          <w:szCs w:val="24"/>
        </w:rPr>
        <w:t xml:space="preserve"> The company will start to organize and set up the data room for buyers that will be granted during the second round of bids. This is a hub for the buyers to access detailed data on the operations of the company.</w:t>
      </w:r>
    </w:p>
    <w:p w14:paraId="140790FE" w14:textId="77777777" w:rsidR="00C94592" w:rsidRPr="009C0724" w:rsidRDefault="00C94592" w:rsidP="00C94592">
      <w:pPr>
        <w:spacing w:after="0"/>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 xml:space="preserve">Receive Initial Bids: </w:t>
      </w:r>
      <w:r>
        <w:rPr>
          <w:rFonts w:ascii="Times New Roman" w:eastAsia="Arial Unicode MS" w:hAnsi="Times New Roman" w:cs="Arial Unicode MS"/>
          <w:kern w:val="3"/>
          <w:sz w:val="24"/>
          <w:szCs w:val="24"/>
        </w:rPr>
        <w:t xml:space="preserve">The </w:t>
      </w:r>
      <w:bookmarkStart w:id="55" w:name="_Hlk452219"/>
      <w:r>
        <w:rPr>
          <w:rFonts w:ascii="Times New Roman" w:eastAsia="Arial Unicode MS" w:hAnsi="Times New Roman" w:cs="Arial Unicode MS"/>
          <w:kern w:val="3"/>
          <w:sz w:val="24"/>
          <w:szCs w:val="24"/>
        </w:rPr>
        <w:t>sell-side banker receives the initial indications of interest accompanied by all the information that was stated in the Initial Bid Procedures Letter. Following the initial bids, the sell-side banker and the company will review all the bids received and their indicative purchase prices. The analysis will also include a discussion by the buyers that indicates how serious they are despite their initial bidding price. Once the analysis is completed, the company makes the final decision which includes two or three buyers that proceed to the next round</w:t>
      </w:r>
      <w:bookmarkEnd w:id="55"/>
      <w:r>
        <w:rPr>
          <w:rFonts w:ascii="Times New Roman" w:eastAsia="Arial Unicode MS" w:hAnsi="Times New Roman" w:cs="Arial Unicode MS"/>
          <w:kern w:val="3"/>
          <w:sz w:val="24"/>
          <w:szCs w:val="24"/>
        </w:rPr>
        <w:t xml:space="preserve">. </w:t>
      </w:r>
    </w:p>
    <w:p w14:paraId="01522A28" w14:textId="77777777" w:rsidR="00C94592" w:rsidRDefault="00C94592" w:rsidP="00C94592">
      <w:pPr>
        <w:spacing w:after="0"/>
        <w:ind w:left="720"/>
        <w:jc w:val="both"/>
        <w:rPr>
          <w:rFonts w:ascii="Times New Roman" w:eastAsia="Arial Unicode MS" w:hAnsi="Times New Roman" w:cs="Arial Unicode MS"/>
          <w:b/>
          <w:color w:val="0070C0"/>
          <w:kern w:val="3"/>
          <w:sz w:val="24"/>
          <w:szCs w:val="24"/>
        </w:rPr>
      </w:pPr>
    </w:p>
    <w:p w14:paraId="4827F7C1" w14:textId="77777777" w:rsidR="00C94592" w:rsidRDefault="00C94592" w:rsidP="00C94592">
      <w:pPr>
        <w:spacing w:after="0"/>
        <w:ind w:left="720"/>
        <w:jc w:val="both"/>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SECOND ROUND</w:t>
      </w:r>
    </w:p>
    <w:p w14:paraId="5D43D586" w14:textId="77777777" w:rsidR="001E38F7" w:rsidRPr="00264061" w:rsidRDefault="001E38F7" w:rsidP="001E38F7">
      <w:pPr>
        <w:ind w:left="720"/>
        <w:jc w:val="both"/>
        <w:rPr>
          <w:rFonts w:ascii="Times New Roman" w:eastAsia="Arial Unicode MS" w:hAnsi="Times New Roman" w:cs="Arial Unicode MS"/>
          <w:kern w:val="3"/>
          <w:sz w:val="24"/>
          <w:szCs w:val="24"/>
        </w:rPr>
      </w:pPr>
      <w:bookmarkStart w:id="56" w:name="_Hlk452631"/>
      <w:r>
        <w:rPr>
          <w:rFonts w:ascii="Times New Roman" w:eastAsia="Arial Unicode MS" w:hAnsi="Times New Roman" w:cs="Arial Unicode MS"/>
          <w:kern w:val="3"/>
          <w:sz w:val="24"/>
          <w:szCs w:val="24"/>
        </w:rPr>
        <w:t xml:space="preserve">The sell-side banker will send a letter to the few investors that are chosen to proceed to the second round. The letter will include a detailed timeframe including when the final bids need to be in. It could also include a calendar showing when the investors will attend the management presentations and visit the site facility. Finally, it will have detailed information on how to gain access to the data room on further occasions. </w:t>
      </w:r>
    </w:p>
    <w:p w14:paraId="1D975672" w14:textId="77777777" w:rsidR="00C94592" w:rsidRDefault="00C94592" w:rsidP="00C94592">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Management Presentations and Site Visit</w:t>
      </w:r>
      <w:r>
        <w:rPr>
          <w:rFonts w:ascii="Times New Roman" w:eastAsia="Arial Unicode MS" w:hAnsi="Times New Roman" w:cs="Arial Unicode MS"/>
          <w:kern w:val="3"/>
          <w:sz w:val="24"/>
          <w:szCs w:val="24"/>
        </w:rPr>
        <w:t xml:space="preserve">: This is the official start of the second round. Management gets a chance to present the company’s operations, business strategy, industry information and financial performance. The presentations, usually given by the CEO and CFOs are followed by a Q&amp;A session. The prospective buyers might bring their buy-side advisors and industry consultants to help them get a comprehensive outlook of the company in preparation for their final bid. Following the management presentation, the company will arrange site visits. These visits provide a firsthand view of the company’s operations – an essential component of the buyer’s due diligence. The scheduled tour of the facilities is generally led by the local manager. Given the sensitivity and confidentiality of buying the company, the investors do not reveal the purpose of their visit.  </w:t>
      </w:r>
    </w:p>
    <w:bookmarkEnd w:id="56"/>
    <w:p w14:paraId="00DEAC0E" w14:textId="41E6D43F"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Data Room:</w:t>
      </w:r>
      <w:r>
        <w:rPr>
          <w:rFonts w:ascii="Times New Roman" w:eastAsia="Arial Unicode MS" w:hAnsi="Times New Roman" w:cs="Arial Unicode MS"/>
          <w:kern w:val="3"/>
          <w:sz w:val="24"/>
          <w:szCs w:val="24"/>
        </w:rPr>
        <w:t xml:space="preserve"> </w:t>
      </w:r>
      <w:r w:rsidR="007C0704">
        <w:rPr>
          <w:rFonts w:ascii="Times New Roman" w:eastAsia="Arial Unicode MS" w:hAnsi="Times New Roman" w:cs="Arial Unicode MS"/>
          <w:kern w:val="3"/>
          <w:sz w:val="24"/>
          <w:szCs w:val="24"/>
        </w:rPr>
        <w:t xml:space="preserve">In addition to listening to management presentations and visiting the facilities, the company provides access to the data room. The data room includes </w:t>
      </w:r>
      <w:bookmarkStart w:id="57" w:name="_Hlk452948"/>
      <w:r w:rsidR="007C0704">
        <w:rPr>
          <w:rFonts w:ascii="Times New Roman" w:eastAsia="Arial Unicode MS" w:hAnsi="Times New Roman" w:cs="Arial Unicode MS"/>
          <w:kern w:val="3"/>
          <w:sz w:val="24"/>
          <w:szCs w:val="24"/>
        </w:rPr>
        <w:t>detailed information on the company, including operational and manufacturing activity data, tax and accounting information, information technology, various tests and environmental inspections and permits</w:t>
      </w:r>
      <w:bookmarkEnd w:id="57"/>
      <w:r w:rsidR="007C0704">
        <w:rPr>
          <w:rFonts w:ascii="Times New Roman" w:eastAsia="Arial Unicode MS" w:hAnsi="Times New Roman" w:cs="Arial Unicode MS"/>
          <w:kern w:val="3"/>
          <w:sz w:val="24"/>
          <w:szCs w:val="24"/>
        </w:rPr>
        <w:t>. The sell-side banker coordinates all the questions or additional requests from these investors.</w:t>
      </w:r>
    </w:p>
    <w:p w14:paraId="4F695911" w14:textId="77777777" w:rsidR="007C0704" w:rsidRDefault="007C0704"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kern w:val="3"/>
          <w:sz w:val="24"/>
          <w:szCs w:val="24"/>
        </w:rPr>
      </w:pPr>
    </w:p>
    <w:p w14:paraId="797B5333"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Final Bid Procedure Letter:</w:t>
      </w:r>
      <w:r>
        <w:rPr>
          <w:rFonts w:ascii="Times New Roman" w:eastAsia="Arial Unicode MS" w:hAnsi="Times New Roman" w:cs="Arial Unicode MS"/>
          <w:kern w:val="3"/>
          <w:sz w:val="24"/>
          <w:szCs w:val="24"/>
        </w:rPr>
        <w:t xml:space="preserve"> Like the initial bid procedures letter in the first round, the </w:t>
      </w:r>
      <w:bookmarkStart w:id="58" w:name="_Hlk453181"/>
      <w:r>
        <w:rPr>
          <w:rFonts w:ascii="Times New Roman" w:eastAsia="Arial Unicode MS" w:hAnsi="Times New Roman" w:cs="Arial Unicode MS"/>
          <w:kern w:val="3"/>
          <w:sz w:val="24"/>
          <w:szCs w:val="24"/>
        </w:rPr>
        <w:t xml:space="preserve">final bid procedures letter includes the exact date and details for submitting a final bid. </w:t>
      </w:r>
      <w:bookmarkEnd w:id="58"/>
      <w:r>
        <w:rPr>
          <w:rFonts w:ascii="Times New Roman" w:eastAsia="Arial Unicode MS" w:hAnsi="Times New Roman" w:cs="Arial Unicode MS"/>
          <w:kern w:val="3"/>
          <w:sz w:val="24"/>
          <w:szCs w:val="24"/>
        </w:rPr>
        <w:t xml:space="preserve">Unlike the initial bid, the final bid is legally binding. The details on the final bid procedures letter includes the purchase price and the method of paying (cash and/or stock), evidence of committed financing and who is financing (banks, financial institutions and equity </w:t>
      </w:r>
      <w:r>
        <w:rPr>
          <w:rFonts w:ascii="Times New Roman" w:eastAsia="Arial Unicode MS" w:hAnsi="Times New Roman" w:cs="Arial Unicode MS"/>
          <w:kern w:val="3"/>
          <w:sz w:val="24"/>
          <w:szCs w:val="24"/>
        </w:rPr>
        <w:lastRenderedPageBreak/>
        <w:t xml:space="preserve">investors). In addition to the final bid procedures letter, a draft of the definitive agreement is distributed for review and ultimately expected for the buyer to sign. The letter will also include the timing and procedures after the final bid is granted by the buyer. </w:t>
      </w:r>
    </w:p>
    <w:p w14:paraId="0B33BBA0"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kern w:val="3"/>
          <w:sz w:val="24"/>
          <w:szCs w:val="24"/>
        </w:rPr>
      </w:pPr>
    </w:p>
    <w:p w14:paraId="5AB19DF3"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Definitive Agreement:</w:t>
      </w:r>
      <w:r>
        <w:rPr>
          <w:rFonts w:ascii="Times New Roman" w:eastAsia="Arial Unicode MS" w:hAnsi="Times New Roman" w:cs="Arial Unicode MS"/>
          <w:kern w:val="3"/>
          <w:sz w:val="24"/>
          <w:szCs w:val="24"/>
        </w:rPr>
        <w:t xml:space="preserve"> The definitive agreement, once signed, </w:t>
      </w:r>
      <w:bookmarkStart w:id="59" w:name="_Hlk453535"/>
      <w:r>
        <w:rPr>
          <w:rFonts w:ascii="Times New Roman" w:eastAsia="Arial Unicode MS" w:hAnsi="Times New Roman" w:cs="Arial Unicode MS"/>
          <w:kern w:val="3"/>
          <w:sz w:val="24"/>
          <w:szCs w:val="24"/>
        </w:rPr>
        <w:t xml:space="preserve">binds both the buyer(s) and seller to agreement of the purchase and sale of the company, </w:t>
      </w:r>
      <w:bookmarkEnd w:id="59"/>
      <w:r>
        <w:rPr>
          <w:rFonts w:ascii="Times New Roman" w:eastAsia="Arial Unicode MS" w:hAnsi="Times New Roman" w:cs="Arial Unicode MS"/>
          <w:kern w:val="3"/>
          <w:sz w:val="24"/>
          <w:szCs w:val="24"/>
        </w:rPr>
        <w:t xml:space="preserve">respectively. Prior to the seller signing it, a draft of this agreement is sent to the final bidders towards the end of the due diligence process. </w:t>
      </w:r>
      <w:bookmarkStart w:id="60" w:name="_Hlk453624"/>
      <w:r>
        <w:rPr>
          <w:rFonts w:ascii="Times New Roman" w:eastAsia="Arial Unicode MS" w:hAnsi="Times New Roman" w:cs="Arial Unicode MS"/>
          <w:kern w:val="3"/>
          <w:sz w:val="24"/>
          <w:szCs w:val="24"/>
        </w:rPr>
        <w:t xml:space="preserve">The definitive agreement includes the transaction structure, representations and warranties, financing commitment and the terms and conditions of the financing. </w:t>
      </w:r>
    </w:p>
    <w:bookmarkEnd w:id="60"/>
    <w:p w14:paraId="6B054F49"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p>
    <w:p w14:paraId="45BFA5D2"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kern w:val="3"/>
          <w:sz w:val="24"/>
          <w:szCs w:val="24"/>
          <w:u w:val="single"/>
        </w:rPr>
        <w:t>Final Bid:</w:t>
      </w:r>
      <w:r>
        <w:rPr>
          <w:rFonts w:ascii="Times New Roman" w:eastAsia="Arial Unicode MS" w:hAnsi="Times New Roman" w:cs="Arial Unicode MS"/>
          <w:kern w:val="3"/>
          <w:sz w:val="24"/>
          <w:szCs w:val="24"/>
        </w:rPr>
        <w:t xml:space="preserve"> At the conclusion of the second round, the prospective buyers submit their bid to the sell-side banker. These are expected to be the final bid with minimal conditions or “outs”.</w:t>
      </w:r>
    </w:p>
    <w:p w14:paraId="64493E55"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p>
    <w:p w14:paraId="68E922EF"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t>NEGOTIATIONS</w:t>
      </w:r>
    </w:p>
    <w:p w14:paraId="52EE25C8" w14:textId="77777777" w:rsidR="00C94592" w:rsidRDefault="00C94592" w:rsidP="00C94592">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Evaluating Final Bids</w:t>
      </w:r>
      <w:r>
        <w:rPr>
          <w:rFonts w:ascii="Times New Roman" w:eastAsia="Arial Unicode MS" w:hAnsi="Times New Roman" w:cs="Arial Unicode MS"/>
          <w:kern w:val="3"/>
          <w:sz w:val="24"/>
          <w:szCs w:val="24"/>
        </w:rPr>
        <w:t xml:space="preserve">: The sell-side banker works with the company and legal counsel to review the conditions and potential outcomes of all the final bids including the </w:t>
      </w:r>
      <w:bookmarkStart w:id="61" w:name="_Hlk453817"/>
      <w:r>
        <w:rPr>
          <w:rFonts w:ascii="Times New Roman" w:eastAsia="Arial Unicode MS" w:hAnsi="Times New Roman" w:cs="Arial Unicode MS"/>
          <w:kern w:val="3"/>
          <w:sz w:val="24"/>
          <w:szCs w:val="24"/>
        </w:rPr>
        <w:t>price, structure, terms and conditions.  All these are important elements to making the final decision. For example, even if one bid price is higher than the others, the financing structure could be weak, or the terms and conditions could be prudish. Once the assessment is completed, the company selects the preferred buyer or buyers with whom to negotiate a definitive agreement.</w:t>
      </w:r>
    </w:p>
    <w:p w14:paraId="152C4645"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kern w:val="3"/>
          <w:sz w:val="24"/>
          <w:szCs w:val="24"/>
        </w:rPr>
      </w:pPr>
      <w:bookmarkStart w:id="62" w:name="_Hlk453934"/>
      <w:bookmarkEnd w:id="61"/>
      <w:r>
        <w:rPr>
          <w:rFonts w:ascii="Times New Roman" w:eastAsia="Arial Unicode MS" w:hAnsi="Times New Roman" w:cs="Arial Unicode MS"/>
          <w:b/>
          <w:kern w:val="3"/>
          <w:sz w:val="24"/>
          <w:szCs w:val="24"/>
          <w:u w:val="single"/>
        </w:rPr>
        <w:t>Negotiate with the selected buyer:</w:t>
      </w:r>
      <w:r>
        <w:rPr>
          <w:rFonts w:ascii="Times New Roman" w:eastAsia="Arial Unicode MS" w:hAnsi="Times New Roman" w:cs="Arial Unicode MS"/>
          <w:kern w:val="3"/>
          <w:sz w:val="24"/>
          <w:szCs w:val="24"/>
        </w:rPr>
        <w:t xml:space="preserve"> The sell-side banker communicates to the buyer that they are among the preferred bidders and needs to clarify a few terms that are included in the final bid letter. During these final negotiations, the banker makes sure that there are not any outstanding issues or requests that are subject to preventing the execution of the definitive agreement.</w:t>
      </w:r>
    </w:p>
    <w:bookmarkEnd w:id="62"/>
    <w:p w14:paraId="5E908C06"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kern w:val="3"/>
          <w:sz w:val="24"/>
          <w:szCs w:val="24"/>
          <w:u w:val="single"/>
        </w:rPr>
      </w:pPr>
    </w:p>
    <w:p w14:paraId="6A589C8A"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kern w:val="3"/>
          <w:sz w:val="24"/>
          <w:szCs w:val="24"/>
        </w:rPr>
      </w:pPr>
      <w:r>
        <w:rPr>
          <w:rFonts w:ascii="Times New Roman" w:eastAsia="Arial Unicode MS" w:hAnsi="Times New Roman" w:cs="Arial Unicode MS"/>
          <w:b/>
          <w:kern w:val="3"/>
          <w:sz w:val="24"/>
          <w:szCs w:val="24"/>
          <w:u w:val="single"/>
        </w:rPr>
        <w:t>Select Winning Bidder:</w:t>
      </w:r>
      <w:r>
        <w:rPr>
          <w:rFonts w:ascii="Times New Roman" w:eastAsia="Arial Unicode MS" w:hAnsi="Times New Roman" w:cs="Arial Unicode MS"/>
          <w:kern w:val="3"/>
          <w:sz w:val="24"/>
          <w:szCs w:val="24"/>
        </w:rPr>
        <w:t xml:space="preserve"> After the last round of negotiation with </w:t>
      </w:r>
      <w:bookmarkStart w:id="63" w:name="_Hlk454071"/>
      <w:r>
        <w:rPr>
          <w:rFonts w:ascii="Times New Roman" w:eastAsia="Arial Unicode MS" w:hAnsi="Times New Roman" w:cs="Arial Unicode MS"/>
          <w:kern w:val="3"/>
          <w:sz w:val="24"/>
          <w:szCs w:val="24"/>
        </w:rPr>
        <w:t xml:space="preserve">the winning bidder, the deal is presented to the company’s board of directors for approval. The seller still reserves the right to reject the bid – basically becoming subject to further approvals. The buyer has some rights of withdrawing from the process, it is rare, though it has happened in the past – this commonly is referred to as a “busted deal”. In a busted deal, expect legal action by the buyer. </w:t>
      </w:r>
    </w:p>
    <w:bookmarkEnd w:id="63"/>
    <w:p w14:paraId="647A5C95"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kern w:val="3"/>
          <w:sz w:val="24"/>
          <w:szCs w:val="24"/>
        </w:rPr>
      </w:pPr>
    </w:p>
    <w:p w14:paraId="453EA309" w14:textId="77777777" w:rsidR="00C94592" w:rsidRDefault="00C94592" w:rsidP="00C94592">
      <w:pPr>
        <w:widowControl w:val="0"/>
        <w:suppressAutoHyphens/>
        <w:autoSpaceDN w:val="0"/>
        <w:spacing w:after="0" w:line="240" w:lineRule="auto"/>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kern w:val="3"/>
          <w:sz w:val="24"/>
          <w:szCs w:val="24"/>
          <w:u w:val="single"/>
        </w:rPr>
        <w:t>Board of Directors Approval:</w:t>
      </w:r>
      <w:r>
        <w:rPr>
          <w:rFonts w:ascii="Times New Roman" w:eastAsia="Arial Unicode MS" w:hAnsi="Times New Roman" w:cs="Arial Unicode MS"/>
          <w:kern w:val="3"/>
          <w:sz w:val="24"/>
          <w:szCs w:val="24"/>
        </w:rPr>
        <w:t xml:space="preserve"> For publicly traded companies the board of directors will ask for a fairness opinion on the valuation of the target company. </w:t>
      </w:r>
      <w:bookmarkStart w:id="64" w:name="_Hlk454334"/>
      <w:r>
        <w:rPr>
          <w:rFonts w:ascii="Times New Roman" w:eastAsia="Arial Unicode MS" w:hAnsi="Times New Roman" w:cs="Arial Unicode MS"/>
          <w:kern w:val="3"/>
          <w:sz w:val="24"/>
          <w:szCs w:val="24"/>
        </w:rPr>
        <w:t xml:space="preserve">This will be used comparatively with the offer price and could possibly become a reason to negotiate further about the proposed offer. </w:t>
      </w:r>
      <w:bookmarkEnd w:id="64"/>
      <w:r>
        <w:rPr>
          <w:rFonts w:ascii="Times New Roman" w:eastAsia="Arial Unicode MS" w:hAnsi="Times New Roman" w:cs="Arial Unicode MS"/>
          <w:kern w:val="3"/>
          <w:sz w:val="24"/>
          <w:szCs w:val="24"/>
        </w:rPr>
        <w:t xml:space="preserve">The fairness opinion is a </w:t>
      </w:r>
      <w:bookmarkStart w:id="65" w:name="_Hlk454372"/>
      <w:r>
        <w:rPr>
          <w:rFonts w:ascii="Times New Roman" w:eastAsia="Arial Unicode MS" w:hAnsi="Times New Roman" w:cs="Arial Unicode MS"/>
          <w:kern w:val="3"/>
          <w:sz w:val="24"/>
          <w:szCs w:val="24"/>
        </w:rPr>
        <w:t xml:space="preserve">letter commenting on the overall “fairness” of the offer </w:t>
      </w:r>
      <w:bookmarkEnd w:id="65"/>
      <w:r>
        <w:rPr>
          <w:rFonts w:ascii="Times New Roman" w:eastAsia="Arial Unicode MS" w:hAnsi="Times New Roman" w:cs="Arial Unicode MS"/>
          <w:kern w:val="3"/>
          <w:sz w:val="24"/>
          <w:szCs w:val="24"/>
        </w:rPr>
        <w:t xml:space="preserve">that is under consideration. It includes various valuation methods including comparable trading and acquisition multiples and a discounted cash flow analysis – these methods are explained in detail in Chapter 17 and Chapter 19. In a public transaction, the fairness opinion needs to be approved by the fairness opinion committee and disclosed through an SEC filing. </w:t>
      </w:r>
    </w:p>
    <w:p w14:paraId="0F01611F"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p>
    <w:p w14:paraId="42F7955D" w14:textId="77777777" w:rsidR="00C94592" w:rsidRDefault="00C94592" w:rsidP="00C94592">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r>
        <w:rPr>
          <w:rFonts w:ascii="Times New Roman" w:eastAsia="Arial Unicode MS" w:hAnsi="Times New Roman" w:cs="Arial Unicode MS"/>
          <w:b/>
          <w:color w:val="0070C0"/>
          <w:kern w:val="3"/>
          <w:sz w:val="24"/>
          <w:szCs w:val="24"/>
        </w:rPr>
        <w:lastRenderedPageBreak/>
        <w:t>CLOSING</w:t>
      </w:r>
    </w:p>
    <w:p w14:paraId="2F29E5FB" w14:textId="77777777" w:rsidR="00C94592" w:rsidRDefault="00C94592" w:rsidP="00C94592">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 xml:space="preserve">Prior to closing and funding, there are additional approvals needed to fully complete the transaction including regulatory and shareholder approvals. </w:t>
      </w:r>
      <w:bookmarkStart w:id="66" w:name="_Hlk454474"/>
      <w:r>
        <w:rPr>
          <w:rFonts w:ascii="Times New Roman" w:eastAsia="Arial Unicode MS" w:hAnsi="Times New Roman" w:cs="Arial Unicode MS"/>
          <w:kern w:val="3"/>
          <w:sz w:val="24"/>
          <w:szCs w:val="24"/>
        </w:rPr>
        <w:t>The regulatory approvals required for M&amp;A transactions involving publicly traded companies fall under the Hart-Scott-</w:t>
      </w:r>
      <w:proofErr w:type="spellStart"/>
      <w:r>
        <w:rPr>
          <w:rFonts w:ascii="Times New Roman" w:eastAsia="Arial Unicode MS" w:hAnsi="Times New Roman" w:cs="Arial Unicode MS"/>
          <w:kern w:val="3"/>
          <w:sz w:val="24"/>
          <w:szCs w:val="24"/>
        </w:rPr>
        <w:t>Rodino</w:t>
      </w:r>
      <w:proofErr w:type="spellEnd"/>
      <w:r>
        <w:rPr>
          <w:rFonts w:ascii="Times New Roman" w:eastAsia="Arial Unicode MS" w:hAnsi="Times New Roman" w:cs="Arial Unicode MS"/>
          <w:kern w:val="3"/>
          <w:sz w:val="24"/>
          <w:szCs w:val="24"/>
        </w:rPr>
        <w:t xml:space="preserve"> Antitrust Improvements Act of 1976. Under this regulation, every M&amp;A transaction for publicly traded companies requires approval from the Federal Trade Commission (FTC) and Antitrust Division of the Department of Justice (DOJ). Following the execution of the definitive agreement the company needs to file with these agencies. The approval process typically requires 30 days to issue confirmation of the transaction depending of the size of the company, it’s revenues and assets. These set amounts are constantly adjusted each year for inflation.  </w:t>
      </w:r>
    </w:p>
    <w:p w14:paraId="756895D0" w14:textId="77777777" w:rsidR="00C94592" w:rsidRDefault="00C94592" w:rsidP="00C94592">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The shareholders also need to approve the transaction. Before a scheduled shareholder meeting is set for approval, a proxy statement is sent out to the shareholders describing the transaction, the fairness opinion and parties involved. Shareholder approval is typically determined by majority vote (50.1%).</w:t>
      </w:r>
    </w:p>
    <w:bookmarkEnd w:id="66"/>
    <w:p w14:paraId="48483F47" w14:textId="77777777" w:rsidR="00C94592" w:rsidRDefault="00C94592" w:rsidP="00C94592">
      <w:pPr>
        <w:ind w:left="720"/>
        <w:jc w:val="both"/>
        <w:rPr>
          <w:rFonts w:ascii="Times New Roman" w:eastAsia="Arial Unicode MS" w:hAnsi="Times New Roman" w:cs="Arial Unicode MS"/>
          <w:kern w:val="3"/>
          <w:sz w:val="24"/>
          <w:szCs w:val="24"/>
        </w:rPr>
      </w:pPr>
      <w:r>
        <w:rPr>
          <w:rFonts w:ascii="Times New Roman" w:eastAsia="Arial Unicode MS" w:hAnsi="Times New Roman" w:cs="Arial Unicode MS"/>
          <w:kern w:val="3"/>
          <w:sz w:val="24"/>
          <w:szCs w:val="24"/>
        </w:rPr>
        <w:t>While the approvals are in the review process for both the government agency and shareholders, the investor buying the company proceeds to source the necessary capital to close and fund the transaction.</w:t>
      </w:r>
    </w:p>
    <w:p w14:paraId="7AE7B3CB" w14:textId="77777777" w:rsidR="00AE0D67" w:rsidRDefault="00AE0D67" w:rsidP="001F7C1B">
      <w:pPr>
        <w:ind w:left="720"/>
        <w:jc w:val="both"/>
        <w:rPr>
          <w:rFonts w:ascii="Times New Roman" w:eastAsia="Arial Unicode MS" w:hAnsi="Times New Roman" w:cs="Arial Unicode MS"/>
          <w:kern w:val="3"/>
          <w:sz w:val="24"/>
          <w:szCs w:val="24"/>
        </w:rPr>
      </w:pPr>
    </w:p>
    <w:p w14:paraId="1DFDD293" w14:textId="77777777" w:rsidR="00906792" w:rsidRPr="00906792" w:rsidRDefault="00906792" w:rsidP="00906792">
      <w:pPr>
        <w:widowControl w:val="0"/>
        <w:suppressAutoHyphens/>
        <w:autoSpaceDN w:val="0"/>
        <w:spacing w:after="0" w:line="240" w:lineRule="auto"/>
        <w:jc w:val="both"/>
        <w:textAlignment w:val="baseline"/>
        <w:rPr>
          <w:rFonts w:asciiTheme="majorHAnsi" w:eastAsiaTheme="majorEastAsia" w:hAnsiTheme="majorHAnsi" w:cs="Mangal"/>
          <w:color w:val="2F5496" w:themeColor="accent1" w:themeShade="BF"/>
          <w:kern w:val="3"/>
          <w:sz w:val="32"/>
          <w:szCs w:val="29"/>
        </w:rPr>
      </w:pPr>
      <w:r w:rsidRPr="00906792">
        <w:rPr>
          <w:rFonts w:asciiTheme="majorHAnsi" w:eastAsiaTheme="majorEastAsia" w:hAnsiTheme="majorHAnsi" w:cs="Mangal"/>
          <w:color w:val="2F5496" w:themeColor="accent1" w:themeShade="BF"/>
          <w:kern w:val="3"/>
          <w:sz w:val="32"/>
          <w:szCs w:val="29"/>
        </w:rPr>
        <w:t>CASE STUDIES AND PRACTICE CASES</w:t>
      </w:r>
    </w:p>
    <w:p w14:paraId="2D841271" w14:textId="0ABE5CBF" w:rsidR="00906792" w:rsidRPr="00906792" w:rsidRDefault="00906792" w:rsidP="00906792">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rPr>
      </w:pPr>
      <w:bookmarkStart w:id="67" w:name="_Hlk519015924"/>
      <w:r w:rsidRPr="00906792">
        <w:rPr>
          <w:rFonts w:ascii="Times New Roman" w:eastAsia="Arial Unicode MS" w:hAnsi="Times New Roman" w:cs="Arial Unicode MS"/>
          <w:kern w:val="3"/>
          <w:sz w:val="24"/>
          <w:szCs w:val="24"/>
        </w:rPr>
        <w:t xml:space="preserve">Is provided by is a supplemental book accompanied this text book under “Chapter </w:t>
      </w:r>
      <w:r>
        <w:rPr>
          <w:rFonts w:ascii="Times New Roman" w:eastAsia="Arial Unicode MS" w:hAnsi="Times New Roman" w:cs="Arial Unicode MS"/>
          <w:kern w:val="3"/>
          <w:sz w:val="24"/>
          <w:szCs w:val="24"/>
        </w:rPr>
        <w:t>6</w:t>
      </w:r>
      <w:r w:rsidRPr="00906792">
        <w:rPr>
          <w:rFonts w:ascii="Times New Roman" w:eastAsia="Arial Unicode MS" w:hAnsi="Times New Roman" w:cs="Arial Unicode MS"/>
          <w:kern w:val="3"/>
          <w:sz w:val="24"/>
          <w:szCs w:val="24"/>
        </w:rPr>
        <w:t xml:space="preserve"> Case Studies and Practice Cases”. To access the excel spreadsheet applications used in this Chapter go to   </w:t>
      </w:r>
      <w:bookmarkEnd w:id="67"/>
      <w:r w:rsidRPr="00906792">
        <w:rPr>
          <w:rFonts w:ascii="Times New Roman" w:hAnsi="Times New Roman" w:cs="Times New Roman"/>
          <w:sz w:val="24"/>
          <w:szCs w:val="24"/>
        </w:rPr>
        <w:fldChar w:fldCharType="begin"/>
      </w:r>
      <w:r w:rsidRPr="00906792">
        <w:rPr>
          <w:rFonts w:ascii="Times New Roman" w:hAnsi="Times New Roman" w:cs="Times New Roman"/>
          <w:sz w:val="24"/>
          <w:szCs w:val="24"/>
        </w:rPr>
        <w:instrText xml:space="preserve"> HYPERLINK "http://www.ProfessorDrou.com" </w:instrText>
      </w:r>
      <w:r w:rsidRPr="00906792">
        <w:rPr>
          <w:rFonts w:ascii="Times New Roman" w:hAnsi="Times New Roman" w:cs="Times New Roman"/>
          <w:sz w:val="24"/>
          <w:szCs w:val="24"/>
        </w:rPr>
        <w:fldChar w:fldCharType="separate"/>
      </w:r>
      <w:r w:rsidRPr="00906792">
        <w:rPr>
          <w:rFonts w:ascii="Times New Roman" w:hAnsi="Times New Roman" w:cs="Times New Roman"/>
          <w:color w:val="0563C1" w:themeColor="hyperlink"/>
          <w:sz w:val="24"/>
          <w:szCs w:val="24"/>
          <w:u w:val="single"/>
        </w:rPr>
        <w:t>www.ProfessorDrou.com</w:t>
      </w:r>
      <w:r w:rsidRPr="00906792">
        <w:rPr>
          <w:rFonts w:ascii="Times New Roman" w:hAnsi="Times New Roman" w:cs="Times New Roman"/>
          <w:sz w:val="24"/>
          <w:szCs w:val="24"/>
        </w:rPr>
        <w:fldChar w:fldCharType="end"/>
      </w:r>
      <w:r w:rsidRPr="00906792">
        <w:t xml:space="preserve"> </w:t>
      </w:r>
      <w:r w:rsidRPr="00906792">
        <w:rPr>
          <w:rFonts w:ascii="Times New Roman" w:eastAsia="Arial Unicode MS" w:hAnsi="Times New Roman" w:cs="Arial Unicode MS"/>
          <w:kern w:val="3"/>
          <w:sz w:val="24"/>
          <w:szCs w:val="24"/>
        </w:rPr>
        <w:t>under Text Book Spreadsheets</w:t>
      </w:r>
      <w:r w:rsidRPr="00906792">
        <w:t>.</w:t>
      </w:r>
    </w:p>
    <w:p w14:paraId="00366F3F" w14:textId="77777777" w:rsidR="000305B8" w:rsidRDefault="000305B8" w:rsidP="00DC3905">
      <w:pPr>
        <w:widowControl w:val="0"/>
        <w:suppressAutoHyphens/>
        <w:autoSpaceDN w:val="0"/>
        <w:spacing w:after="0" w:line="240" w:lineRule="auto"/>
        <w:ind w:left="720"/>
        <w:jc w:val="both"/>
        <w:textAlignment w:val="baseline"/>
        <w:rPr>
          <w:rFonts w:ascii="Times New Roman" w:eastAsia="Arial Unicode MS" w:hAnsi="Times New Roman" w:cs="Arial Unicode MS"/>
          <w:b/>
          <w:color w:val="0070C0"/>
          <w:kern w:val="3"/>
          <w:sz w:val="24"/>
          <w:szCs w:val="24"/>
        </w:rPr>
      </w:pPr>
    </w:p>
    <w:sectPr w:rsidR="00030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6D2C"/>
    <w:multiLevelType w:val="multilevel"/>
    <w:tmpl w:val="0E62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11B48"/>
    <w:multiLevelType w:val="hybridMultilevel"/>
    <w:tmpl w:val="94CE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976C3"/>
    <w:multiLevelType w:val="hybridMultilevel"/>
    <w:tmpl w:val="CABE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046B4"/>
    <w:multiLevelType w:val="multilevel"/>
    <w:tmpl w:val="724AE1CA"/>
    <w:styleLink w:val="WWNum24"/>
    <w:lvl w:ilvl="0">
      <w:start w:val="1"/>
      <w:numFmt w:val="decimal"/>
      <w:lvlText w:val="%1."/>
      <w:lvlJc w:val="left"/>
      <w:pPr>
        <w:ind w:left="7560" w:hanging="360"/>
      </w:pPr>
    </w:lvl>
    <w:lvl w:ilvl="1">
      <w:start w:val="1"/>
      <w:numFmt w:val="lowerLetter"/>
      <w:lvlText w:val="%2."/>
      <w:lvlJc w:val="left"/>
      <w:pPr>
        <w:ind w:left="8280" w:hanging="360"/>
      </w:pPr>
    </w:lvl>
    <w:lvl w:ilvl="2">
      <w:start w:val="1"/>
      <w:numFmt w:val="lowerRoman"/>
      <w:lvlText w:val="%1.%2.%3."/>
      <w:lvlJc w:val="right"/>
      <w:pPr>
        <w:ind w:left="9000" w:hanging="180"/>
      </w:pPr>
    </w:lvl>
    <w:lvl w:ilvl="3">
      <w:start w:val="1"/>
      <w:numFmt w:val="decimal"/>
      <w:lvlText w:val="%1.%2.%3.%4."/>
      <w:lvlJc w:val="left"/>
      <w:pPr>
        <w:ind w:left="9720" w:hanging="360"/>
      </w:pPr>
    </w:lvl>
    <w:lvl w:ilvl="4">
      <w:start w:val="1"/>
      <w:numFmt w:val="lowerLetter"/>
      <w:lvlText w:val="%1.%2.%3.%4.%5."/>
      <w:lvlJc w:val="left"/>
      <w:pPr>
        <w:ind w:left="10440" w:hanging="360"/>
      </w:pPr>
    </w:lvl>
    <w:lvl w:ilvl="5">
      <w:start w:val="1"/>
      <w:numFmt w:val="lowerRoman"/>
      <w:lvlText w:val="%1.%2.%3.%4.%5.%6."/>
      <w:lvlJc w:val="right"/>
      <w:pPr>
        <w:ind w:left="11160" w:hanging="180"/>
      </w:pPr>
    </w:lvl>
    <w:lvl w:ilvl="6">
      <w:start w:val="1"/>
      <w:numFmt w:val="decimal"/>
      <w:lvlText w:val="%1.%2.%3.%4.%5.%6.%7."/>
      <w:lvlJc w:val="left"/>
      <w:pPr>
        <w:ind w:left="11880" w:hanging="360"/>
      </w:pPr>
    </w:lvl>
    <w:lvl w:ilvl="7">
      <w:start w:val="1"/>
      <w:numFmt w:val="lowerLetter"/>
      <w:lvlText w:val="%1.%2.%3.%4.%5.%6.%7.%8."/>
      <w:lvlJc w:val="left"/>
      <w:pPr>
        <w:ind w:left="12600" w:hanging="360"/>
      </w:pPr>
    </w:lvl>
    <w:lvl w:ilvl="8">
      <w:start w:val="1"/>
      <w:numFmt w:val="lowerRoman"/>
      <w:lvlText w:val="%1.%2.%3.%4.%5.%6.%7.%8.%9."/>
      <w:lvlJc w:val="right"/>
      <w:pPr>
        <w:ind w:left="13320" w:hanging="180"/>
      </w:pPr>
    </w:lvl>
  </w:abstractNum>
  <w:abstractNum w:abstractNumId="4" w15:restartNumberingAfterBreak="0">
    <w:nsid w:val="60B124F5"/>
    <w:multiLevelType w:val="hybridMultilevel"/>
    <w:tmpl w:val="EC7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E5E95"/>
    <w:multiLevelType w:val="multilevel"/>
    <w:tmpl w:val="A8C2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462F3"/>
    <w:multiLevelType w:val="hybridMultilevel"/>
    <w:tmpl w:val="7EDC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901BA"/>
    <w:multiLevelType w:val="hybridMultilevel"/>
    <w:tmpl w:val="C0D8D5F0"/>
    <w:lvl w:ilvl="0" w:tplc="E74A9396">
      <w:start w:val="1"/>
      <w:numFmt w:val="bullet"/>
      <w:lvlText w:val=""/>
      <w:lvlJc w:val="left"/>
      <w:pPr>
        <w:tabs>
          <w:tab w:val="num" w:pos="720"/>
        </w:tabs>
        <w:ind w:left="720" w:hanging="360"/>
      </w:pPr>
      <w:rPr>
        <w:rFonts w:ascii="Wingdings" w:hAnsi="Wingdings" w:hint="default"/>
      </w:rPr>
    </w:lvl>
    <w:lvl w:ilvl="1" w:tplc="8BBACACC">
      <w:start w:val="1"/>
      <w:numFmt w:val="bullet"/>
      <w:lvlText w:val=""/>
      <w:lvlJc w:val="left"/>
      <w:pPr>
        <w:tabs>
          <w:tab w:val="num" w:pos="1440"/>
        </w:tabs>
        <w:ind w:left="1440" w:hanging="360"/>
      </w:pPr>
      <w:rPr>
        <w:rFonts w:ascii="Wingdings" w:hAnsi="Wingdings" w:hint="default"/>
      </w:rPr>
    </w:lvl>
    <w:lvl w:ilvl="2" w:tplc="74FED2B4" w:tentative="1">
      <w:start w:val="1"/>
      <w:numFmt w:val="bullet"/>
      <w:lvlText w:val=""/>
      <w:lvlJc w:val="left"/>
      <w:pPr>
        <w:tabs>
          <w:tab w:val="num" w:pos="2160"/>
        </w:tabs>
        <w:ind w:left="2160" w:hanging="360"/>
      </w:pPr>
      <w:rPr>
        <w:rFonts w:ascii="Wingdings" w:hAnsi="Wingdings" w:hint="default"/>
      </w:rPr>
    </w:lvl>
    <w:lvl w:ilvl="3" w:tplc="DC5A0440" w:tentative="1">
      <w:start w:val="1"/>
      <w:numFmt w:val="bullet"/>
      <w:lvlText w:val=""/>
      <w:lvlJc w:val="left"/>
      <w:pPr>
        <w:tabs>
          <w:tab w:val="num" w:pos="2880"/>
        </w:tabs>
        <w:ind w:left="2880" w:hanging="360"/>
      </w:pPr>
      <w:rPr>
        <w:rFonts w:ascii="Wingdings" w:hAnsi="Wingdings" w:hint="default"/>
      </w:rPr>
    </w:lvl>
    <w:lvl w:ilvl="4" w:tplc="6E4CB264" w:tentative="1">
      <w:start w:val="1"/>
      <w:numFmt w:val="bullet"/>
      <w:lvlText w:val=""/>
      <w:lvlJc w:val="left"/>
      <w:pPr>
        <w:tabs>
          <w:tab w:val="num" w:pos="3600"/>
        </w:tabs>
        <w:ind w:left="3600" w:hanging="360"/>
      </w:pPr>
      <w:rPr>
        <w:rFonts w:ascii="Wingdings" w:hAnsi="Wingdings" w:hint="default"/>
      </w:rPr>
    </w:lvl>
    <w:lvl w:ilvl="5" w:tplc="5D6ED99C" w:tentative="1">
      <w:start w:val="1"/>
      <w:numFmt w:val="bullet"/>
      <w:lvlText w:val=""/>
      <w:lvlJc w:val="left"/>
      <w:pPr>
        <w:tabs>
          <w:tab w:val="num" w:pos="4320"/>
        </w:tabs>
        <w:ind w:left="4320" w:hanging="360"/>
      </w:pPr>
      <w:rPr>
        <w:rFonts w:ascii="Wingdings" w:hAnsi="Wingdings" w:hint="default"/>
      </w:rPr>
    </w:lvl>
    <w:lvl w:ilvl="6" w:tplc="F03261F8" w:tentative="1">
      <w:start w:val="1"/>
      <w:numFmt w:val="bullet"/>
      <w:lvlText w:val=""/>
      <w:lvlJc w:val="left"/>
      <w:pPr>
        <w:tabs>
          <w:tab w:val="num" w:pos="5040"/>
        </w:tabs>
        <w:ind w:left="5040" w:hanging="360"/>
      </w:pPr>
      <w:rPr>
        <w:rFonts w:ascii="Wingdings" w:hAnsi="Wingdings" w:hint="default"/>
      </w:rPr>
    </w:lvl>
    <w:lvl w:ilvl="7" w:tplc="D9CC0F26" w:tentative="1">
      <w:start w:val="1"/>
      <w:numFmt w:val="bullet"/>
      <w:lvlText w:val=""/>
      <w:lvlJc w:val="left"/>
      <w:pPr>
        <w:tabs>
          <w:tab w:val="num" w:pos="5760"/>
        </w:tabs>
        <w:ind w:left="5760" w:hanging="360"/>
      </w:pPr>
      <w:rPr>
        <w:rFonts w:ascii="Wingdings" w:hAnsi="Wingdings" w:hint="default"/>
      </w:rPr>
    </w:lvl>
    <w:lvl w:ilvl="8" w:tplc="819263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4E7EE0"/>
    <w:multiLevelType w:val="hybridMultilevel"/>
    <w:tmpl w:val="6826D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1"/>
  </w:num>
  <w:num w:numId="6">
    <w:abstractNumId w:val="8"/>
  </w:num>
  <w:num w:numId="7">
    <w:abstractNumId w:val="6"/>
  </w:num>
  <w:num w:numId="8">
    <w:abstractNumId w:val="5"/>
  </w:num>
  <w:num w:numId="9">
    <w:abstractNumId w:val="0"/>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0E"/>
    <w:rsid w:val="00001B59"/>
    <w:rsid w:val="000042D3"/>
    <w:rsid w:val="00005744"/>
    <w:rsid w:val="00006B2A"/>
    <w:rsid w:val="000102FC"/>
    <w:rsid w:val="00011A30"/>
    <w:rsid w:val="000132D7"/>
    <w:rsid w:val="00013332"/>
    <w:rsid w:val="0001555B"/>
    <w:rsid w:val="000158A1"/>
    <w:rsid w:val="00016F19"/>
    <w:rsid w:val="00017142"/>
    <w:rsid w:val="0002094E"/>
    <w:rsid w:val="00021EAC"/>
    <w:rsid w:val="00024FAA"/>
    <w:rsid w:val="00027E44"/>
    <w:rsid w:val="000305B8"/>
    <w:rsid w:val="00032499"/>
    <w:rsid w:val="0003441C"/>
    <w:rsid w:val="00037B3B"/>
    <w:rsid w:val="00040CB9"/>
    <w:rsid w:val="00043DD2"/>
    <w:rsid w:val="000450D9"/>
    <w:rsid w:val="00046206"/>
    <w:rsid w:val="000464AA"/>
    <w:rsid w:val="00051FC9"/>
    <w:rsid w:val="0005263E"/>
    <w:rsid w:val="00052CC6"/>
    <w:rsid w:val="00054386"/>
    <w:rsid w:val="00055969"/>
    <w:rsid w:val="0005622F"/>
    <w:rsid w:val="000579AE"/>
    <w:rsid w:val="000615CF"/>
    <w:rsid w:val="000636E0"/>
    <w:rsid w:val="00063BED"/>
    <w:rsid w:val="0006513F"/>
    <w:rsid w:val="000661F0"/>
    <w:rsid w:val="00067E09"/>
    <w:rsid w:val="0007515F"/>
    <w:rsid w:val="00081B90"/>
    <w:rsid w:val="00082E7A"/>
    <w:rsid w:val="00083FDF"/>
    <w:rsid w:val="00086FD3"/>
    <w:rsid w:val="00087AD8"/>
    <w:rsid w:val="000915F5"/>
    <w:rsid w:val="000918E1"/>
    <w:rsid w:val="00094852"/>
    <w:rsid w:val="00094BAF"/>
    <w:rsid w:val="000962F1"/>
    <w:rsid w:val="0009776E"/>
    <w:rsid w:val="000A074A"/>
    <w:rsid w:val="000A24E7"/>
    <w:rsid w:val="000A29D6"/>
    <w:rsid w:val="000A5DF1"/>
    <w:rsid w:val="000A618A"/>
    <w:rsid w:val="000A684F"/>
    <w:rsid w:val="000A73B0"/>
    <w:rsid w:val="000A796A"/>
    <w:rsid w:val="000B02DD"/>
    <w:rsid w:val="000B1E7A"/>
    <w:rsid w:val="000B236A"/>
    <w:rsid w:val="000B403B"/>
    <w:rsid w:val="000B791A"/>
    <w:rsid w:val="000B7A72"/>
    <w:rsid w:val="000C4662"/>
    <w:rsid w:val="000C576C"/>
    <w:rsid w:val="000C5911"/>
    <w:rsid w:val="000C6AB1"/>
    <w:rsid w:val="000C6EE9"/>
    <w:rsid w:val="000C7611"/>
    <w:rsid w:val="000D0D2F"/>
    <w:rsid w:val="000D4FD4"/>
    <w:rsid w:val="000E3C1D"/>
    <w:rsid w:val="000E3D15"/>
    <w:rsid w:val="000E41BD"/>
    <w:rsid w:val="000E43B5"/>
    <w:rsid w:val="000E4EFF"/>
    <w:rsid w:val="000E5B0C"/>
    <w:rsid w:val="000E6324"/>
    <w:rsid w:val="000F0DC6"/>
    <w:rsid w:val="000F0F91"/>
    <w:rsid w:val="000F1150"/>
    <w:rsid w:val="000F16AB"/>
    <w:rsid w:val="000F1D57"/>
    <w:rsid w:val="000F2104"/>
    <w:rsid w:val="000F2584"/>
    <w:rsid w:val="000F258F"/>
    <w:rsid w:val="000F5092"/>
    <w:rsid w:val="000F525A"/>
    <w:rsid w:val="000F5C3F"/>
    <w:rsid w:val="00101163"/>
    <w:rsid w:val="0010451F"/>
    <w:rsid w:val="001046DE"/>
    <w:rsid w:val="0010658E"/>
    <w:rsid w:val="00107AC5"/>
    <w:rsid w:val="0011015E"/>
    <w:rsid w:val="001114B1"/>
    <w:rsid w:val="00111D0E"/>
    <w:rsid w:val="00112973"/>
    <w:rsid w:val="001138E9"/>
    <w:rsid w:val="00114D45"/>
    <w:rsid w:val="00115DA1"/>
    <w:rsid w:val="0011668C"/>
    <w:rsid w:val="0012023E"/>
    <w:rsid w:val="0012038E"/>
    <w:rsid w:val="00120594"/>
    <w:rsid w:val="00122428"/>
    <w:rsid w:val="00124343"/>
    <w:rsid w:val="001247FB"/>
    <w:rsid w:val="0012541A"/>
    <w:rsid w:val="00126E20"/>
    <w:rsid w:val="0012700F"/>
    <w:rsid w:val="00130931"/>
    <w:rsid w:val="00131318"/>
    <w:rsid w:val="00131AD2"/>
    <w:rsid w:val="00132046"/>
    <w:rsid w:val="0013274F"/>
    <w:rsid w:val="00132823"/>
    <w:rsid w:val="0013292B"/>
    <w:rsid w:val="00132D07"/>
    <w:rsid w:val="00133D4A"/>
    <w:rsid w:val="0013486B"/>
    <w:rsid w:val="001370AE"/>
    <w:rsid w:val="001412F8"/>
    <w:rsid w:val="00141ADD"/>
    <w:rsid w:val="00144AA6"/>
    <w:rsid w:val="00145D89"/>
    <w:rsid w:val="001473DD"/>
    <w:rsid w:val="001549EC"/>
    <w:rsid w:val="00157CEC"/>
    <w:rsid w:val="0016127F"/>
    <w:rsid w:val="0016287F"/>
    <w:rsid w:val="001652C4"/>
    <w:rsid w:val="00165531"/>
    <w:rsid w:val="001669F4"/>
    <w:rsid w:val="00167022"/>
    <w:rsid w:val="00170B3F"/>
    <w:rsid w:val="00171284"/>
    <w:rsid w:val="00171E76"/>
    <w:rsid w:val="00173AA9"/>
    <w:rsid w:val="00174729"/>
    <w:rsid w:val="00174820"/>
    <w:rsid w:val="00174A6D"/>
    <w:rsid w:val="00175C87"/>
    <w:rsid w:val="001764CF"/>
    <w:rsid w:val="001769B4"/>
    <w:rsid w:val="00176FCB"/>
    <w:rsid w:val="0017717C"/>
    <w:rsid w:val="00180949"/>
    <w:rsid w:val="00180CE5"/>
    <w:rsid w:val="00181ECF"/>
    <w:rsid w:val="0018304E"/>
    <w:rsid w:val="00183483"/>
    <w:rsid w:val="00184CD5"/>
    <w:rsid w:val="00184D21"/>
    <w:rsid w:val="0018523B"/>
    <w:rsid w:val="00185741"/>
    <w:rsid w:val="00186991"/>
    <w:rsid w:val="00186E68"/>
    <w:rsid w:val="001876A5"/>
    <w:rsid w:val="00187C9D"/>
    <w:rsid w:val="00190219"/>
    <w:rsid w:val="00190420"/>
    <w:rsid w:val="001906BC"/>
    <w:rsid w:val="00191D99"/>
    <w:rsid w:val="001930B4"/>
    <w:rsid w:val="00195F72"/>
    <w:rsid w:val="001965B9"/>
    <w:rsid w:val="001A37C4"/>
    <w:rsid w:val="001A3988"/>
    <w:rsid w:val="001A6EA6"/>
    <w:rsid w:val="001A725B"/>
    <w:rsid w:val="001A75DD"/>
    <w:rsid w:val="001B0552"/>
    <w:rsid w:val="001B055D"/>
    <w:rsid w:val="001B12F8"/>
    <w:rsid w:val="001B1377"/>
    <w:rsid w:val="001B1F30"/>
    <w:rsid w:val="001B2263"/>
    <w:rsid w:val="001B34EF"/>
    <w:rsid w:val="001B3C48"/>
    <w:rsid w:val="001B4613"/>
    <w:rsid w:val="001B71E2"/>
    <w:rsid w:val="001B7FF2"/>
    <w:rsid w:val="001C0AD0"/>
    <w:rsid w:val="001C0AE1"/>
    <w:rsid w:val="001C21DA"/>
    <w:rsid w:val="001C3280"/>
    <w:rsid w:val="001C68F9"/>
    <w:rsid w:val="001C6F00"/>
    <w:rsid w:val="001D024F"/>
    <w:rsid w:val="001D0509"/>
    <w:rsid w:val="001D156F"/>
    <w:rsid w:val="001D1B24"/>
    <w:rsid w:val="001D1D8B"/>
    <w:rsid w:val="001D2FF0"/>
    <w:rsid w:val="001D3A6D"/>
    <w:rsid w:val="001D7457"/>
    <w:rsid w:val="001E0AE5"/>
    <w:rsid w:val="001E134D"/>
    <w:rsid w:val="001E2E9E"/>
    <w:rsid w:val="001E38F7"/>
    <w:rsid w:val="001E417D"/>
    <w:rsid w:val="001E736C"/>
    <w:rsid w:val="001F17B7"/>
    <w:rsid w:val="001F1A32"/>
    <w:rsid w:val="001F3B9A"/>
    <w:rsid w:val="001F446A"/>
    <w:rsid w:val="001F5363"/>
    <w:rsid w:val="001F632E"/>
    <w:rsid w:val="001F7C1B"/>
    <w:rsid w:val="00200BC6"/>
    <w:rsid w:val="002050E9"/>
    <w:rsid w:val="0020615E"/>
    <w:rsid w:val="002075B5"/>
    <w:rsid w:val="00207856"/>
    <w:rsid w:val="00210C7E"/>
    <w:rsid w:val="00213D43"/>
    <w:rsid w:val="00215074"/>
    <w:rsid w:val="0021608F"/>
    <w:rsid w:val="00216FDD"/>
    <w:rsid w:val="0022133A"/>
    <w:rsid w:val="00221A7A"/>
    <w:rsid w:val="00221E6A"/>
    <w:rsid w:val="0022222E"/>
    <w:rsid w:val="00224C03"/>
    <w:rsid w:val="00225150"/>
    <w:rsid w:val="002267C0"/>
    <w:rsid w:val="00227550"/>
    <w:rsid w:val="002306B1"/>
    <w:rsid w:val="00231DFA"/>
    <w:rsid w:val="0023244F"/>
    <w:rsid w:val="002341A6"/>
    <w:rsid w:val="0023445F"/>
    <w:rsid w:val="002345F8"/>
    <w:rsid w:val="002347C7"/>
    <w:rsid w:val="002355D4"/>
    <w:rsid w:val="0023695D"/>
    <w:rsid w:val="00236977"/>
    <w:rsid w:val="00236A8B"/>
    <w:rsid w:val="00237CD9"/>
    <w:rsid w:val="0024517A"/>
    <w:rsid w:val="002456DA"/>
    <w:rsid w:val="00246B45"/>
    <w:rsid w:val="002503D1"/>
    <w:rsid w:val="0025073B"/>
    <w:rsid w:val="00250C28"/>
    <w:rsid w:val="00250E35"/>
    <w:rsid w:val="002518F5"/>
    <w:rsid w:val="00251E5E"/>
    <w:rsid w:val="00252FFF"/>
    <w:rsid w:val="00255CFB"/>
    <w:rsid w:val="00256EEE"/>
    <w:rsid w:val="00257277"/>
    <w:rsid w:val="00260885"/>
    <w:rsid w:val="00260FE9"/>
    <w:rsid w:val="0026327A"/>
    <w:rsid w:val="00264061"/>
    <w:rsid w:val="002640C6"/>
    <w:rsid w:val="002641E5"/>
    <w:rsid w:val="002662BC"/>
    <w:rsid w:val="002679C6"/>
    <w:rsid w:val="00267E2D"/>
    <w:rsid w:val="0027176A"/>
    <w:rsid w:val="0027680C"/>
    <w:rsid w:val="00284F93"/>
    <w:rsid w:val="0028501D"/>
    <w:rsid w:val="002867F6"/>
    <w:rsid w:val="002874F2"/>
    <w:rsid w:val="002902F8"/>
    <w:rsid w:val="002904A6"/>
    <w:rsid w:val="00290E86"/>
    <w:rsid w:val="002917A7"/>
    <w:rsid w:val="00291F1E"/>
    <w:rsid w:val="00291FBC"/>
    <w:rsid w:val="00292C00"/>
    <w:rsid w:val="0029683F"/>
    <w:rsid w:val="00296B7D"/>
    <w:rsid w:val="00296CF5"/>
    <w:rsid w:val="002A121A"/>
    <w:rsid w:val="002A190F"/>
    <w:rsid w:val="002A201C"/>
    <w:rsid w:val="002A4063"/>
    <w:rsid w:val="002A4560"/>
    <w:rsid w:val="002A4CAF"/>
    <w:rsid w:val="002A6F56"/>
    <w:rsid w:val="002B09B4"/>
    <w:rsid w:val="002B3313"/>
    <w:rsid w:val="002B410E"/>
    <w:rsid w:val="002B5226"/>
    <w:rsid w:val="002B5F02"/>
    <w:rsid w:val="002B7B99"/>
    <w:rsid w:val="002B7DB2"/>
    <w:rsid w:val="002C0F18"/>
    <w:rsid w:val="002C1163"/>
    <w:rsid w:val="002D0E57"/>
    <w:rsid w:val="002D1FA2"/>
    <w:rsid w:val="002D2C54"/>
    <w:rsid w:val="002D6834"/>
    <w:rsid w:val="002E012A"/>
    <w:rsid w:val="002E071D"/>
    <w:rsid w:val="002E1B92"/>
    <w:rsid w:val="002E2DA8"/>
    <w:rsid w:val="002F1408"/>
    <w:rsid w:val="002F1ABB"/>
    <w:rsid w:val="002F3C17"/>
    <w:rsid w:val="002F7E02"/>
    <w:rsid w:val="00300EE2"/>
    <w:rsid w:val="00301C9E"/>
    <w:rsid w:val="00302204"/>
    <w:rsid w:val="00303084"/>
    <w:rsid w:val="00303B0D"/>
    <w:rsid w:val="00303D85"/>
    <w:rsid w:val="00304F31"/>
    <w:rsid w:val="00306424"/>
    <w:rsid w:val="0030692C"/>
    <w:rsid w:val="003077D1"/>
    <w:rsid w:val="003102B0"/>
    <w:rsid w:val="00310BA2"/>
    <w:rsid w:val="00310D95"/>
    <w:rsid w:val="0031233E"/>
    <w:rsid w:val="003133B2"/>
    <w:rsid w:val="00314F66"/>
    <w:rsid w:val="003157A6"/>
    <w:rsid w:val="00316726"/>
    <w:rsid w:val="003171FE"/>
    <w:rsid w:val="00320D0A"/>
    <w:rsid w:val="00323FC2"/>
    <w:rsid w:val="00325520"/>
    <w:rsid w:val="00325E7C"/>
    <w:rsid w:val="00330E88"/>
    <w:rsid w:val="00331639"/>
    <w:rsid w:val="00331E38"/>
    <w:rsid w:val="00332BD7"/>
    <w:rsid w:val="003360C8"/>
    <w:rsid w:val="00337D67"/>
    <w:rsid w:val="003403B2"/>
    <w:rsid w:val="00342616"/>
    <w:rsid w:val="0034471A"/>
    <w:rsid w:val="003448F5"/>
    <w:rsid w:val="00344E80"/>
    <w:rsid w:val="00346227"/>
    <w:rsid w:val="00346B24"/>
    <w:rsid w:val="00347219"/>
    <w:rsid w:val="00351C5E"/>
    <w:rsid w:val="00352631"/>
    <w:rsid w:val="003527F9"/>
    <w:rsid w:val="00352EF2"/>
    <w:rsid w:val="003532C7"/>
    <w:rsid w:val="00353614"/>
    <w:rsid w:val="003568D8"/>
    <w:rsid w:val="0035735D"/>
    <w:rsid w:val="00357550"/>
    <w:rsid w:val="003576D4"/>
    <w:rsid w:val="003577EE"/>
    <w:rsid w:val="003602C2"/>
    <w:rsid w:val="0036101B"/>
    <w:rsid w:val="00361D1C"/>
    <w:rsid w:val="003625D5"/>
    <w:rsid w:val="003633E8"/>
    <w:rsid w:val="003634D4"/>
    <w:rsid w:val="00363830"/>
    <w:rsid w:val="0036461E"/>
    <w:rsid w:val="00370FD4"/>
    <w:rsid w:val="00372F0A"/>
    <w:rsid w:val="00373024"/>
    <w:rsid w:val="003733D5"/>
    <w:rsid w:val="00373B0F"/>
    <w:rsid w:val="003809DE"/>
    <w:rsid w:val="00382D72"/>
    <w:rsid w:val="00384FEC"/>
    <w:rsid w:val="00386F7B"/>
    <w:rsid w:val="0039182E"/>
    <w:rsid w:val="00391931"/>
    <w:rsid w:val="00395056"/>
    <w:rsid w:val="00397626"/>
    <w:rsid w:val="00397A5A"/>
    <w:rsid w:val="003A2837"/>
    <w:rsid w:val="003A3219"/>
    <w:rsid w:val="003A55B5"/>
    <w:rsid w:val="003A61E5"/>
    <w:rsid w:val="003A65ED"/>
    <w:rsid w:val="003A6BBC"/>
    <w:rsid w:val="003A6F3E"/>
    <w:rsid w:val="003A7907"/>
    <w:rsid w:val="003B3296"/>
    <w:rsid w:val="003B55FF"/>
    <w:rsid w:val="003B5DB6"/>
    <w:rsid w:val="003C10EA"/>
    <w:rsid w:val="003C18E7"/>
    <w:rsid w:val="003C77BB"/>
    <w:rsid w:val="003C7824"/>
    <w:rsid w:val="003C7A83"/>
    <w:rsid w:val="003C7B2D"/>
    <w:rsid w:val="003D174D"/>
    <w:rsid w:val="003D3BD3"/>
    <w:rsid w:val="003D4C56"/>
    <w:rsid w:val="003D5CE5"/>
    <w:rsid w:val="003D6295"/>
    <w:rsid w:val="003E069A"/>
    <w:rsid w:val="003E199F"/>
    <w:rsid w:val="003E1C5F"/>
    <w:rsid w:val="003E30E8"/>
    <w:rsid w:val="003E5083"/>
    <w:rsid w:val="003E62B6"/>
    <w:rsid w:val="003E7054"/>
    <w:rsid w:val="003E7DE4"/>
    <w:rsid w:val="003F341A"/>
    <w:rsid w:val="003F36E2"/>
    <w:rsid w:val="003F5C16"/>
    <w:rsid w:val="003F7754"/>
    <w:rsid w:val="00400256"/>
    <w:rsid w:val="004003AA"/>
    <w:rsid w:val="00400A9B"/>
    <w:rsid w:val="00403858"/>
    <w:rsid w:val="004042B0"/>
    <w:rsid w:val="004059DF"/>
    <w:rsid w:val="004078F2"/>
    <w:rsid w:val="00407E84"/>
    <w:rsid w:val="0041051C"/>
    <w:rsid w:val="0041131A"/>
    <w:rsid w:val="004127A5"/>
    <w:rsid w:val="004149AF"/>
    <w:rsid w:val="00414BE4"/>
    <w:rsid w:val="00416D7C"/>
    <w:rsid w:val="0041722E"/>
    <w:rsid w:val="00420C3B"/>
    <w:rsid w:val="0042285B"/>
    <w:rsid w:val="00424AA0"/>
    <w:rsid w:val="00424FFA"/>
    <w:rsid w:val="0042560F"/>
    <w:rsid w:val="0042602F"/>
    <w:rsid w:val="00427504"/>
    <w:rsid w:val="00430EEC"/>
    <w:rsid w:val="00434273"/>
    <w:rsid w:val="00435EED"/>
    <w:rsid w:val="00436E12"/>
    <w:rsid w:val="004376E6"/>
    <w:rsid w:val="00442309"/>
    <w:rsid w:val="00444103"/>
    <w:rsid w:val="004449C2"/>
    <w:rsid w:val="00447960"/>
    <w:rsid w:val="0045262F"/>
    <w:rsid w:val="00452803"/>
    <w:rsid w:val="004535AB"/>
    <w:rsid w:val="00453F99"/>
    <w:rsid w:val="0045460B"/>
    <w:rsid w:val="00457526"/>
    <w:rsid w:val="00457731"/>
    <w:rsid w:val="00461597"/>
    <w:rsid w:val="004623FC"/>
    <w:rsid w:val="0046319E"/>
    <w:rsid w:val="0046454F"/>
    <w:rsid w:val="00464ED4"/>
    <w:rsid w:val="00465450"/>
    <w:rsid w:val="00466E4F"/>
    <w:rsid w:val="004674EB"/>
    <w:rsid w:val="00474110"/>
    <w:rsid w:val="00474639"/>
    <w:rsid w:val="00475CC7"/>
    <w:rsid w:val="00476025"/>
    <w:rsid w:val="00477622"/>
    <w:rsid w:val="00484FD5"/>
    <w:rsid w:val="00485803"/>
    <w:rsid w:val="00485E79"/>
    <w:rsid w:val="00486209"/>
    <w:rsid w:val="00487B35"/>
    <w:rsid w:val="00492F11"/>
    <w:rsid w:val="004A07BF"/>
    <w:rsid w:val="004A191F"/>
    <w:rsid w:val="004A34ED"/>
    <w:rsid w:val="004A3509"/>
    <w:rsid w:val="004A3EDD"/>
    <w:rsid w:val="004A757C"/>
    <w:rsid w:val="004B00EC"/>
    <w:rsid w:val="004B03D5"/>
    <w:rsid w:val="004B1378"/>
    <w:rsid w:val="004B23AB"/>
    <w:rsid w:val="004B395A"/>
    <w:rsid w:val="004B4425"/>
    <w:rsid w:val="004B5BDB"/>
    <w:rsid w:val="004B634D"/>
    <w:rsid w:val="004C05BC"/>
    <w:rsid w:val="004C0D94"/>
    <w:rsid w:val="004C1361"/>
    <w:rsid w:val="004C4C50"/>
    <w:rsid w:val="004C5973"/>
    <w:rsid w:val="004C5B20"/>
    <w:rsid w:val="004C730F"/>
    <w:rsid w:val="004C7487"/>
    <w:rsid w:val="004D1EA9"/>
    <w:rsid w:val="004D2191"/>
    <w:rsid w:val="004D21D1"/>
    <w:rsid w:val="004D2803"/>
    <w:rsid w:val="004D29AD"/>
    <w:rsid w:val="004D56FC"/>
    <w:rsid w:val="004D6F15"/>
    <w:rsid w:val="004D7539"/>
    <w:rsid w:val="004D7DAC"/>
    <w:rsid w:val="004E2831"/>
    <w:rsid w:val="004E330D"/>
    <w:rsid w:val="004E45A8"/>
    <w:rsid w:val="004E4E4A"/>
    <w:rsid w:val="004E7578"/>
    <w:rsid w:val="004F068F"/>
    <w:rsid w:val="004F15D3"/>
    <w:rsid w:val="004F25B8"/>
    <w:rsid w:val="004F45C0"/>
    <w:rsid w:val="004F50CE"/>
    <w:rsid w:val="004F5DB6"/>
    <w:rsid w:val="004F6D2D"/>
    <w:rsid w:val="00501FC1"/>
    <w:rsid w:val="0050207C"/>
    <w:rsid w:val="00503D7B"/>
    <w:rsid w:val="0050411A"/>
    <w:rsid w:val="0051009F"/>
    <w:rsid w:val="00510879"/>
    <w:rsid w:val="0051114A"/>
    <w:rsid w:val="0051142B"/>
    <w:rsid w:val="00511BB6"/>
    <w:rsid w:val="00511E41"/>
    <w:rsid w:val="005122A6"/>
    <w:rsid w:val="005124BC"/>
    <w:rsid w:val="00514E98"/>
    <w:rsid w:val="005159B7"/>
    <w:rsid w:val="00516C0B"/>
    <w:rsid w:val="00517956"/>
    <w:rsid w:val="005237EB"/>
    <w:rsid w:val="00525BA9"/>
    <w:rsid w:val="00527A5E"/>
    <w:rsid w:val="00532129"/>
    <w:rsid w:val="00532202"/>
    <w:rsid w:val="005323A1"/>
    <w:rsid w:val="0053281F"/>
    <w:rsid w:val="005360BB"/>
    <w:rsid w:val="005361AB"/>
    <w:rsid w:val="00537FE3"/>
    <w:rsid w:val="00540323"/>
    <w:rsid w:val="00543FE7"/>
    <w:rsid w:val="005446A9"/>
    <w:rsid w:val="00544DAD"/>
    <w:rsid w:val="00545CCF"/>
    <w:rsid w:val="00545D7C"/>
    <w:rsid w:val="00545F2D"/>
    <w:rsid w:val="00547D1B"/>
    <w:rsid w:val="005510DB"/>
    <w:rsid w:val="00553B19"/>
    <w:rsid w:val="00553E36"/>
    <w:rsid w:val="0055438A"/>
    <w:rsid w:val="0055473A"/>
    <w:rsid w:val="00554CD6"/>
    <w:rsid w:val="00556FAB"/>
    <w:rsid w:val="0055708F"/>
    <w:rsid w:val="00557BEF"/>
    <w:rsid w:val="00560108"/>
    <w:rsid w:val="0056045E"/>
    <w:rsid w:val="00560776"/>
    <w:rsid w:val="00560BCE"/>
    <w:rsid w:val="005612FC"/>
    <w:rsid w:val="0056196C"/>
    <w:rsid w:val="00561EDC"/>
    <w:rsid w:val="005625ED"/>
    <w:rsid w:val="00562B18"/>
    <w:rsid w:val="00564033"/>
    <w:rsid w:val="0057124A"/>
    <w:rsid w:val="00572D64"/>
    <w:rsid w:val="00574899"/>
    <w:rsid w:val="00581386"/>
    <w:rsid w:val="00584EEC"/>
    <w:rsid w:val="00590FB2"/>
    <w:rsid w:val="005914B7"/>
    <w:rsid w:val="00591852"/>
    <w:rsid w:val="005918F7"/>
    <w:rsid w:val="005928F5"/>
    <w:rsid w:val="005929BB"/>
    <w:rsid w:val="00592A7F"/>
    <w:rsid w:val="00593C7E"/>
    <w:rsid w:val="00594668"/>
    <w:rsid w:val="00594B5D"/>
    <w:rsid w:val="005A00B2"/>
    <w:rsid w:val="005A1160"/>
    <w:rsid w:val="005A3574"/>
    <w:rsid w:val="005A6834"/>
    <w:rsid w:val="005A6C40"/>
    <w:rsid w:val="005A7AC3"/>
    <w:rsid w:val="005A7B37"/>
    <w:rsid w:val="005B13E2"/>
    <w:rsid w:val="005B274A"/>
    <w:rsid w:val="005B2BB5"/>
    <w:rsid w:val="005B57B2"/>
    <w:rsid w:val="005B5849"/>
    <w:rsid w:val="005B6215"/>
    <w:rsid w:val="005B7907"/>
    <w:rsid w:val="005B7FB9"/>
    <w:rsid w:val="005C1C12"/>
    <w:rsid w:val="005C2DD2"/>
    <w:rsid w:val="005C3627"/>
    <w:rsid w:val="005C411E"/>
    <w:rsid w:val="005C55AC"/>
    <w:rsid w:val="005C5B29"/>
    <w:rsid w:val="005C60C5"/>
    <w:rsid w:val="005C6465"/>
    <w:rsid w:val="005D0B40"/>
    <w:rsid w:val="005D1E39"/>
    <w:rsid w:val="005D31AF"/>
    <w:rsid w:val="005D4224"/>
    <w:rsid w:val="005D5505"/>
    <w:rsid w:val="005D5FCF"/>
    <w:rsid w:val="005D7C3E"/>
    <w:rsid w:val="005D7C5C"/>
    <w:rsid w:val="005E11EE"/>
    <w:rsid w:val="005E4D2C"/>
    <w:rsid w:val="005E568C"/>
    <w:rsid w:val="005E59BA"/>
    <w:rsid w:val="005E6B80"/>
    <w:rsid w:val="005E71BE"/>
    <w:rsid w:val="005E742B"/>
    <w:rsid w:val="005E76EB"/>
    <w:rsid w:val="005F2036"/>
    <w:rsid w:val="005F27AE"/>
    <w:rsid w:val="005F3B40"/>
    <w:rsid w:val="005F4091"/>
    <w:rsid w:val="005F63BD"/>
    <w:rsid w:val="00600E64"/>
    <w:rsid w:val="00601E88"/>
    <w:rsid w:val="00602E5E"/>
    <w:rsid w:val="0060300B"/>
    <w:rsid w:val="006048ED"/>
    <w:rsid w:val="0060499F"/>
    <w:rsid w:val="00606240"/>
    <w:rsid w:val="006065DC"/>
    <w:rsid w:val="00606C3E"/>
    <w:rsid w:val="00606E67"/>
    <w:rsid w:val="006072F9"/>
    <w:rsid w:val="006078A6"/>
    <w:rsid w:val="00610A09"/>
    <w:rsid w:val="006112FE"/>
    <w:rsid w:val="006122DC"/>
    <w:rsid w:val="00612CB3"/>
    <w:rsid w:val="00613C97"/>
    <w:rsid w:val="00615070"/>
    <w:rsid w:val="0061623B"/>
    <w:rsid w:val="006162E5"/>
    <w:rsid w:val="0061793A"/>
    <w:rsid w:val="00617BFD"/>
    <w:rsid w:val="0062067E"/>
    <w:rsid w:val="006209D1"/>
    <w:rsid w:val="00621792"/>
    <w:rsid w:val="006236B5"/>
    <w:rsid w:val="00623F74"/>
    <w:rsid w:val="006246D9"/>
    <w:rsid w:val="0062567D"/>
    <w:rsid w:val="006259CA"/>
    <w:rsid w:val="00627DAA"/>
    <w:rsid w:val="00627EEC"/>
    <w:rsid w:val="00631137"/>
    <w:rsid w:val="00634C60"/>
    <w:rsid w:val="006352D0"/>
    <w:rsid w:val="00636AF6"/>
    <w:rsid w:val="00636DDD"/>
    <w:rsid w:val="006407CE"/>
    <w:rsid w:val="00641689"/>
    <w:rsid w:val="006416CA"/>
    <w:rsid w:val="00641E0C"/>
    <w:rsid w:val="00643276"/>
    <w:rsid w:val="00643C3E"/>
    <w:rsid w:val="00643DF2"/>
    <w:rsid w:val="00644683"/>
    <w:rsid w:val="00650724"/>
    <w:rsid w:val="0065139C"/>
    <w:rsid w:val="00653555"/>
    <w:rsid w:val="00653D62"/>
    <w:rsid w:val="006549AA"/>
    <w:rsid w:val="0065534C"/>
    <w:rsid w:val="0065565A"/>
    <w:rsid w:val="006619B9"/>
    <w:rsid w:val="006623ED"/>
    <w:rsid w:val="00664D5D"/>
    <w:rsid w:val="006659DA"/>
    <w:rsid w:val="00665B50"/>
    <w:rsid w:val="00667A79"/>
    <w:rsid w:val="0067171B"/>
    <w:rsid w:val="0067331D"/>
    <w:rsid w:val="0067341B"/>
    <w:rsid w:val="0067411F"/>
    <w:rsid w:val="006762E1"/>
    <w:rsid w:val="006767D6"/>
    <w:rsid w:val="00677A18"/>
    <w:rsid w:val="0068030A"/>
    <w:rsid w:val="00684CDF"/>
    <w:rsid w:val="006858F0"/>
    <w:rsid w:val="00685CF9"/>
    <w:rsid w:val="006872D6"/>
    <w:rsid w:val="0069078D"/>
    <w:rsid w:val="00691DF3"/>
    <w:rsid w:val="0069356B"/>
    <w:rsid w:val="00694417"/>
    <w:rsid w:val="00694527"/>
    <w:rsid w:val="0069518B"/>
    <w:rsid w:val="00695887"/>
    <w:rsid w:val="00696C2C"/>
    <w:rsid w:val="006A0671"/>
    <w:rsid w:val="006A2745"/>
    <w:rsid w:val="006A2C70"/>
    <w:rsid w:val="006A2F33"/>
    <w:rsid w:val="006A4FC6"/>
    <w:rsid w:val="006A6923"/>
    <w:rsid w:val="006B03CE"/>
    <w:rsid w:val="006B2433"/>
    <w:rsid w:val="006B2760"/>
    <w:rsid w:val="006B5719"/>
    <w:rsid w:val="006B7213"/>
    <w:rsid w:val="006B78D1"/>
    <w:rsid w:val="006B7D2C"/>
    <w:rsid w:val="006C257F"/>
    <w:rsid w:val="006C2F87"/>
    <w:rsid w:val="006C471C"/>
    <w:rsid w:val="006C7A89"/>
    <w:rsid w:val="006D0A33"/>
    <w:rsid w:val="006D3015"/>
    <w:rsid w:val="006D46D0"/>
    <w:rsid w:val="006D4CD4"/>
    <w:rsid w:val="006D5573"/>
    <w:rsid w:val="006D621E"/>
    <w:rsid w:val="006D6AA4"/>
    <w:rsid w:val="006D6D05"/>
    <w:rsid w:val="006D7B3B"/>
    <w:rsid w:val="006E497A"/>
    <w:rsid w:val="006E5066"/>
    <w:rsid w:val="006E52E8"/>
    <w:rsid w:val="006E5DE4"/>
    <w:rsid w:val="006F271E"/>
    <w:rsid w:val="006F3E65"/>
    <w:rsid w:val="006F3E69"/>
    <w:rsid w:val="006F4780"/>
    <w:rsid w:val="006F547C"/>
    <w:rsid w:val="00702E24"/>
    <w:rsid w:val="00705710"/>
    <w:rsid w:val="00706871"/>
    <w:rsid w:val="00707A53"/>
    <w:rsid w:val="00707E50"/>
    <w:rsid w:val="0071086C"/>
    <w:rsid w:val="00710BBB"/>
    <w:rsid w:val="007138B7"/>
    <w:rsid w:val="00714D2F"/>
    <w:rsid w:val="0071639D"/>
    <w:rsid w:val="00717DC4"/>
    <w:rsid w:val="00724DF6"/>
    <w:rsid w:val="00725090"/>
    <w:rsid w:val="0072581C"/>
    <w:rsid w:val="007268BC"/>
    <w:rsid w:val="007338C4"/>
    <w:rsid w:val="007346BA"/>
    <w:rsid w:val="00736C1A"/>
    <w:rsid w:val="007413E3"/>
    <w:rsid w:val="0074250E"/>
    <w:rsid w:val="00742D06"/>
    <w:rsid w:val="00744F34"/>
    <w:rsid w:val="007457E8"/>
    <w:rsid w:val="0075046D"/>
    <w:rsid w:val="00750E50"/>
    <w:rsid w:val="00752146"/>
    <w:rsid w:val="0075587F"/>
    <w:rsid w:val="0075660B"/>
    <w:rsid w:val="007601E8"/>
    <w:rsid w:val="00760F0B"/>
    <w:rsid w:val="0076234E"/>
    <w:rsid w:val="007635D8"/>
    <w:rsid w:val="0076386C"/>
    <w:rsid w:val="00763FF8"/>
    <w:rsid w:val="007654E8"/>
    <w:rsid w:val="007741BB"/>
    <w:rsid w:val="007742B2"/>
    <w:rsid w:val="0077466C"/>
    <w:rsid w:val="007748C7"/>
    <w:rsid w:val="00775100"/>
    <w:rsid w:val="00775C71"/>
    <w:rsid w:val="00780CFE"/>
    <w:rsid w:val="007839DC"/>
    <w:rsid w:val="00784D00"/>
    <w:rsid w:val="007851D0"/>
    <w:rsid w:val="0078604A"/>
    <w:rsid w:val="00787C69"/>
    <w:rsid w:val="00787F04"/>
    <w:rsid w:val="00791447"/>
    <w:rsid w:val="0079297D"/>
    <w:rsid w:val="00794081"/>
    <w:rsid w:val="00794184"/>
    <w:rsid w:val="00795121"/>
    <w:rsid w:val="007957B3"/>
    <w:rsid w:val="007A0932"/>
    <w:rsid w:val="007A0DF1"/>
    <w:rsid w:val="007A208F"/>
    <w:rsid w:val="007A27E4"/>
    <w:rsid w:val="007A34E0"/>
    <w:rsid w:val="007A4790"/>
    <w:rsid w:val="007A48F2"/>
    <w:rsid w:val="007A4C9A"/>
    <w:rsid w:val="007A6149"/>
    <w:rsid w:val="007A6150"/>
    <w:rsid w:val="007A7456"/>
    <w:rsid w:val="007B0F9A"/>
    <w:rsid w:val="007B1EE7"/>
    <w:rsid w:val="007B2E7D"/>
    <w:rsid w:val="007B31E0"/>
    <w:rsid w:val="007B4434"/>
    <w:rsid w:val="007B5EB3"/>
    <w:rsid w:val="007B72DE"/>
    <w:rsid w:val="007C0704"/>
    <w:rsid w:val="007C1267"/>
    <w:rsid w:val="007C2941"/>
    <w:rsid w:val="007C52F7"/>
    <w:rsid w:val="007C7632"/>
    <w:rsid w:val="007D0682"/>
    <w:rsid w:val="007D157B"/>
    <w:rsid w:val="007D1BB4"/>
    <w:rsid w:val="007D23F8"/>
    <w:rsid w:val="007D2655"/>
    <w:rsid w:val="007D49A4"/>
    <w:rsid w:val="007D4ED2"/>
    <w:rsid w:val="007D58F8"/>
    <w:rsid w:val="007D5E2E"/>
    <w:rsid w:val="007D73A7"/>
    <w:rsid w:val="007D798A"/>
    <w:rsid w:val="007E1A60"/>
    <w:rsid w:val="007E1D36"/>
    <w:rsid w:val="007E2080"/>
    <w:rsid w:val="007E57FC"/>
    <w:rsid w:val="007F07E4"/>
    <w:rsid w:val="007F25F6"/>
    <w:rsid w:val="007F3421"/>
    <w:rsid w:val="007F3578"/>
    <w:rsid w:val="007F4952"/>
    <w:rsid w:val="007F63C5"/>
    <w:rsid w:val="00802F7A"/>
    <w:rsid w:val="0080707A"/>
    <w:rsid w:val="008101DB"/>
    <w:rsid w:val="00810286"/>
    <w:rsid w:val="00810A25"/>
    <w:rsid w:val="008117C5"/>
    <w:rsid w:val="00811A87"/>
    <w:rsid w:val="00813D36"/>
    <w:rsid w:val="00814295"/>
    <w:rsid w:val="008144F9"/>
    <w:rsid w:val="008206EE"/>
    <w:rsid w:val="0082528D"/>
    <w:rsid w:val="008258A5"/>
    <w:rsid w:val="008277CC"/>
    <w:rsid w:val="008301C7"/>
    <w:rsid w:val="00832B3A"/>
    <w:rsid w:val="00836CE2"/>
    <w:rsid w:val="00837E4E"/>
    <w:rsid w:val="00841A24"/>
    <w:rsid w:val="0084429D"/>
    <w:rsid w:val="008449CE"/>
    <w:rsid w:val="00845410"/>
    <w:rsid w:val="00845867"/>
    <w:rsid w:val="00845A2A"/>
    <w:rsid w:val="00845AA3"/>
    <w:rsid w:val="00847E36"/>
    <w:rsid w:val="0085081D"/>
    <w:rsid w:val="008512BE"/>
    <w:rsid w:val="00851687"/>
    <w:rsid w:val="00851AB5"/>
    <w:rsid w:val="00852819"/>
    <w:rsid w:val="008552E8"/>
    <w:rsid w:val="0085631E"/>
    <w:rsid w:val="008603D4"/>
    <w:rsid w:val="00862CAE"/>
    <w:rsid w:val="00864889"/>
    <w:rsid w:val="00866309"/>
    <w:rsid w:val="00867B2C"/>
    <w:rsid w:val="008702B6"/>
    <w:rsid w:val="00870535"/>
    <w:rsid w:val="008707CF"/>
    <w:rsid w:val="008719ED"/>
    <w:rsid w:val="00871DF7"/>
    <w:rsid w:val="008746DB"/>
    <w:rsid w:val="0087508C"/>
    <w:rsid w:val="008769D2"/>
    <w:rsid w:val="00876CDF"/>
    <w:rsid w:val="00877B18"/>
    <w:rsid w:val="008830FA"/>
    <w:rsid w:val="0088612E"/>
    <w:rsid w:val="00890EB0"/>
    <w:rsid w:val="0089132B"/>
    <w:rsid w:val="00892B85"/>
    <w:rsid w:val="008945A7"/>
    <w:rsid w:val="00895C08"/>
    <w:rsid w:val="008A46B4"/>
    <w:rsid w:val="008A47C7"/>
    <w:rsid w:val="008A5126"/>
    <w:rsid w:val="008A6674"/>
    <w:rsid w:val="008A7376"/>
    <w:rsid w:val="008B08F0"/>
    <w:rsid w:val="008B1150"/>
    <w:rsid w:val="008B2C5D"/>
    <w:rsid w:val="008B46BD"/>
    <w:rsid w:val="008B4958"/>
    <w:rsid w:val="008B4B69"/>
    <w:rsid w:val="008B5232"/>
    <w:rsid w:val="008B53B4"/>
    <w:rsid w:val="008B57BA"/>
    <w:rsid w:val="008B7107"/>
    <w:rsid w:val="008C0E55"/>
    <w:rsid w:val="008C32A4"/>
    <w:rsid w:val="008C39D3"/>
    <w:rsid w:val="008C64B0"/>
    <w:rsid w:val="008C669B"/>
    <w:rsid w:val="008C6FC9"/>
    <w:rsid w:val="008C755B"/>
    <w:rsid w:val="008C7678"/>
    <w:rsid w:val="008C784E"/>
    <w:rsid w:val="008C7E91"/>
    <w:rsid w:val="008D1C27"/>
    <w:rsid w:val="008D34F8"/>
    <w:rsid w:val="008D55B6"/>
    <w:rsid w:val="008D5778"/>
    <w:rsid w:val="008D6AF4"/>
    <w:rsid w:val="008E1B99"/>
    <w:rsid w:val="008E1FE9"/>
    <w:rsid w:val="008E28EE"/>
    <w:rsid w:val="008E3992"/>
    <w:rsid w:val="008E479C"/>
    <w:rsid w:val="008F0259"/>
    <w:rsid w:val="008F0F6B"/>
    <w:rsid w:val="008F154D"/>
    <w:rsid w:val="008F2206"/>
    <w:rsid w:val="008F3DA7"/>
    <w:rsid w:val="008F6291"/>
    <w:rsid w:val="008F75D9"/>
    <w:rsid w:val="008F7DCA"/>
    <w:rsid w:val="00900214"/>
    <w:rsid w:val="00903407"/>
    <w:rsid w:val="00903C7D"/>
    <w:rsid w:val="00905C37"/>
    <w:rsid w:val="00906792"/>
    <w:rsid w:val="009073D8"/>
    <w:rsid w:val="00907756"/>
    <w:rsid w:val="0090785C"/>
    <w:rsid w:val="00913959"/>
    <w:rsid w:val="00913AF7"/>
    <w:rsid w:val="00916220"/>
    <w:rsid w:val="00916C02"/>
    <w:rsid w:val="00917CD3"/>
    <w:rsid w:val="00921971"/>
    <w:rsid w:val="00923FFA"/>
    <w:rsid w:val="00925E94"/>
    <w:rsid w:val="009271A2"/>
    <w:rsid w:val="00927E8D"/>
    <w:rsid w:val="009330D2"/>
    <w:rsid w:val="00934C5D"/>
    <w:rsid w:val="00935473"/>
    <w:rsid w:val="00935F58"/>
    <w:rsid w:val="00936D25"/>
    <w:rsid w:val="00941271"/>
    <w:rsid w:val="009422F7"/>
    <w:rsid w:val="009423A5"/>
    <w:rsid w:val="0094271F"/>
    <w:rsid w:val="00942860"/>
    <w:rsid w:val="00945D6B"/>
    <w:rsid w:val="00945E08"/>
    <w:rsid w:val="0094601F"/>
    <w:rsid w:val="00952018"/>
    <w:rsid w:val="009539C7"/>
    <w:rsid w:val="0095676A"/>
    <w:rsid w:val="00957209"/>
    <w:rsid w:val="00961CCB"/>
    <w:rsid w:val="009622CB"/>
    <w:rsid w:val="00962773"/>
    <w:rsid w:val="0096282D"/>
    <w:rsid w:val="00962B86"/>
    <w:rsid w:val="00962E2B"/>
    <w:rsid w:val="0096308D"/>
    <w:rsid w:val="00963127"/>
    <w:rsid w:val="00963AF5"/>
    <w:rsid w:val="0096409F"/>
    <w:rsid w:val="0096504F"/>
    <w:rsid w:val="009655B1"/>
    <w:rsid w:val="00965BB1"/>
    <w:rsid w:val="009667EC"/>
    <w:rsid w:val="00967136"/>
    <w:rsid w:val="00970804"/>
    <w:rsid w:val="00972D78"/>
    <w:rsid w:val="0097335E"/>
    <w:rsid w:val="00973A6F"/>
    <w:rsid w:val="00973FD0"/>
    <w:rsid w:val="00974900"/>
    <w:rsid w:val="0097677E"/>
    <w:rsid w:val="0097795B"/>
    <w:rsid w:val="0098039B"/>
    <w:rsid w:val="009804D0"/>
    <w:rsid w:val="00980A8B"/>
    <w:rsid w:val="00980F2A"/>
    <w:rsid w:val="009815A1"/>
    <w:rsid w:val="00981D01"/>
    <w:rsid w:val="0098271B"/>
    <w:rsid w:val="00982C66"/>
    <w:rsid w:val="009859A4"/>
    <w:rsid w:val="00985BA9"/>
    <w:rsid w:val="009918DF"/>
    <w:rsid w:val="00992B5C"/>
    <w:rsid w:val="00992F99"/>
    <w:rsid w:val="009934A3"/>
    <w:rsid w:val="00993636"/>
    <w:rsid w:val="00993E15"/>
    <w:rsid w:val="009943D0"/>
    <w:rsid w:val="00995EE8"/>
    <w:rsid w:val="009A185B"/>
    <w:rsid w:val="009A2328"/>
    <w:rsid w:val="009A2922"/>
    <w:rsid w:val="009A58AF"/>
    <w:rsid w:val="009A67A4"/>
    <w:rsid w:val="009B2379"/>
    <w:rsid w:val="009B3216"/>
    <w:rsid w:val="009B3440"/>
    <w:rsid w:val="009B3D0B"/>
    <w:rsid w:val="009B5F2A"/>
    <w:rsid w:val="009B609C"/>
    <w:rsid w:val="009B6ADC"/>
    <w:rsid w:val="009B7228"/>
    <w:rsid w:val="009C0724"/>
    <w:rsid w:val="009C15BF"/>
    <w:rsid w:val="009C2027"/>
    <w:rsid w:val="009C3018"/>
    <w:rsid w:val="009C3206"/>
    <w:rsid w:val="009C4A0C"/>
    <w:rsid w:val="009C5A0F"/>
    <w:rsid w:val="009C5FEE"/>
    <w:rsid w:val="009D0173"/>
    <w:rsid w:val="009D0309"/>
    <w:rsid w:val="009D080E"/>
    <w:rsid w:val="009D1966"/>
    <w:rsid w:val="009D2334"/>
    <w:rsid w:val="009D3D37"/>
    <w:rsid w:val="009D41C6"/>
    <w:rsid w:val="009D45BC"/>
    <w:rsid w:val="009D5B98"/>
    <w:rsid w:val="009D61A0"/>
    <w:rsid w:val="009D68EA"/>
    <w:rsid w:val="009D6F9D"/>
    <w:rsid w:val="009E03E8"/>
    <w:rsid w:val="009E262F"/>
    <w:rsid w:val="009E5CE3"/>
    <w:rsid w:val="009E6154"/>
    <w:rsid w:val="009F00A3"/>
    <w:rsid w:val="009F031D"/>
    <w:rsid w:val="009F1517"/>
    <w:rsid w:val="009F180D"/>
    <w:rsid w:val="009F3E5D"/>
    <w:rsid w:val="009F4569"/>
    <w:rsid w:val="009F572C"/>
    <w:rsid w:val="009F5895"/>
    <w:rsid w:val="009F733B"/>
    <w:rsid w:val="00A005FC"/>
    <w:rsid w:val="00A01788"/>
    <w:rsid w:val="00A02768"/>
    <w:rsid w:val="00A06FA4"/>
    <w:rsid w:val="00A07634"/>
    <w:rsid w:val="00A1087E"/>
    <w:rsid w:val="00A11ED5"/>
    <w:rsid w:val="00A13147"/>
    <w:rsid w:val="00A13C0F"/>
    <w:rsid w:val="00A143AF"/>
    <w:rsid w:val="00A15DC6"/>
    <w:rsid w:val="00A171FA"/>
    <w:rsid w:val="00A20558"/>
    <w:rsid w:val="00A20672"/>
    <w:rsid w:val="00A22B96"/>
    <w:rsid w:val="00A25D26"/>
    <w:rsid w:val="00A27DC6"/>
    <w:rsid w:val="00A27E48"/>
    <w:rsid w:val="00A320F1"/>
    <w:rsid w:val="00A32C10"/>
    <w:rsid w:val="00A332A0"/>
    <w:rsid w:val="00A33D3D"/>
    <w:rsid w:val="00A3542A"/>
    <w:rsid w:val="00A36091"/>
    <w:rsid w:val="00A36E4D"/>
    <w:rsid w:val="00A40227"/>
    <w:rsid w:val="00A40DD6"/>
    <w:rsid w:val="00A41AFE"/>
    <w:rsid w:val="00A41FF8"/>
    <w:rsid w:val="00A431AF"/>
    <w:rsid w:val="00A44B41"/>
    <w:rsid w:val="00A45974"/>
    <w:rsid w:val="00A461B8"/>
    <w:rsid w:val="00A46818"/>
    <w:rsid w:val="00A46E4C"/>
    <w:rsid w:val="00A508D2"/>
    <w:rsid w:val="00A54CDD"/>
    <w:rsid w:val="00A5505E"/>
    <w:rsid w:val="00A5515E"/>
    <w:rsid w:val="00A56C0F"/>
    <w:rsid w:val="00A57B8F"/>
    <w:rsid w:val="00A6025F"/>
    <w:rsid w:val="00A61C85"/>
    <w:rsid w:val="00A626AF"/>
    <w:rsid w:val="00A62994"/>
    <w:rsid w:val="00A64226"/>
    <w:rsid w:val="00A653CB"/>
    <w:rsid w:val="00A6556F"/>
    <w:rsid w:val="00A65E7F"/>
    <w:rsid w:val="00A66A8C"/>
    <w:rsid w:val="00A710A9"/>
    <w:rsid w:val="00A71D0A"/>
    <w:rsid w:val="00A72ADE"/>
    <w:rsid w:val="00A72D71"/>
    <w:rsid w:val="00A73BDF"/>
    <w:rsid w:val="00A746A8"/>
    <w:rsid w:val="00A74D88"/>
    <w:rsid w:val="00A75B3E"/>
    <w:rsid w:val="00A766AC"/>
    <w:rsid w:val="00A77A4A"/>
    <w:rsid w:val="00A834A0"/>
    <w:rsid w:val="00A84112"/>
    <w:rsid w:val="00A86CD2"/>
    <w:rsid w:val="00A9051E"/>
    <w:rsid w:val="00A90F3F"/>
    <w:rsid w:val="00A91017"/>
    <w:rsid w:val="00A91CBD"/>
    <w:rsid w:val="00A9296F"/>
    <w:rsid w:val="00A93B75"/>
    <w:rsid w:val="00A93DEB"/>
    <w:rsid w:val="00A96DAB"/>
    <w:rsid w:val="00A97C88"/>
    <w:rsid w:val="00A97E1D"/>
    <w:rsid w:val="00AA1AB3"/>
    <w:rsid w:val="00AA4006"/>
    <w:rsid w:val="00AA4A6B"/>
    <w:rsid w:val="00AA53BB"/>
    <w:rsid w:val="00AA64B7"/>
    <w:rsid w:val="00AA7856"/>
    <w:rsid w:val="00AA7E74"/>
    <w:rsid w:val="00AB3F9B"/>
    <w:rsid w:val="00AB49B2"/>
    <w:rsid w:val="00AB5E07"/>
    <w:rsid w:val="00AC3150"/>
    <w:rsid w:val="00AC467F"/>
    <w:rsid w:val="00AC5DCB"/>
    <w:rsid w:val="00AC68F8"/>
    <w:rsid w:val="00AD3F85"/>
    <w:rsid w:val="00AD42F4"/>
    <w:rsid w:val="00AD4557"/>
    <w:rsid w:val="00AD6296"/>
    <w:rsid w:val="00AE0D67"/>
    <w:rsid w:val="00AE297A"/>
    <w:rsid w:val="00AE3049"/>
    <w:rsid w:val="00AE392C"/>
    <w:rsid w:val="00AE6767"/>
    <w:rsid w:val="00AE74EB"/>
    <w:rsid w:val="00AF24E5"/>
    <w:rsid w:val="00AF27FF"/>
    <w:rsid w:val="00AF28B7"/>
    <w:rsid w:val="00AF3E42"/>
    <w:rsid w:val="00AF40B4"/>
    <w:rsid w:val="00AF4B4E"/>
    <w:rsid w:val="00AF4C78"/>
    <w:rsid w:val="00AF5219"/>
    <w:rsid w:val="00AF5911"/>
    <w:rsid w:val="00AF6DF7"/>
    <w:rsid w:val="00B00EC1"/>
    <w:rsid w:val="00B01FF1"/>
    <w:rsid w:val="00B04311"/>
    <w:rsid w:val="00B047E3"/>
    <w:rsid w:val="00B052D6"/>
    <w:rsid w:val="00B13C86"/>
    <w:rsid w:val="00B13D52"/>
    <w:rsid w:val="00B16C9C"/>
    <w:rsid w:val="00B17661"/>
    <w:rsid w:val="00B17D90"/>
    <w:rsid w:val="00B22C8A"/>
    <w:rsid w:val="00B2508D"/>
    <w:rsid w:val="00B25DAA"/>
    <w:rsid w:val="00B3161C"/>
    <w:rsid w:val="00B345A6"/>
    <w:rsid w:val="00B34D2D"/>
    <w:rsid w:val="00B34E01"/>
    <w:rsid w:val="00B35DEC"/>
    <w:rsid w:val="00B35F35"/>
    <w:rsid w:val="00B37D41"/>
    <w:rsid w:val="00B40260"/>
    <w:rsid w:val="00B419A7"/>
    <w:rsid w:val="00B42913"/>
    <w:rsid w:val="00B42BEB"/>
    <w:rsid w:val="00B43B1E"/>
    <w:rsid w:val="00B4637E"/>
    <w:rsid w:val="00B53BF8"/>
    <w:rsid w:val="00B547AB"/>
    <w:rsid w:val="00B549B1"/>
    <w:rsid w:val="00B56D17"/>
    <w:rsid w:val="00B57BBE"/>
    <w:rsid w:val="00B57D1E"/>
    <w:rsid w:val="00B63557"/>
    <w:rsid w:val="00B65C4E"/>
    <w:rsid w:val="00B6663F"/>
    <w:rsid w:val="00B67181"/>
    <w:rsid w:val="00B705F3"/>
    <w:rsid w:val="00B712E4"/>
    <w:rsid w:val="00B74BB3"/>
    <w:rsid w:val="00B771DA"/>
    <w:rsid w:val="00B77246"/>
    <w:rsid w:val="00B77321"/>
    <w:rsid w:val="00B77667"/>
    <w:rsid w:val="00B80487"/>
    <w:rsid w:val="00B82642"/>
    <w:rsid w:val="00B8283A"/>
    <w:rsid w:val="00B833AE"/>
    <w:rsid w:val="00B83930"/>
    <w:rsid w:val="00B83ABA"/>
    <w:rsid w:val="00B83E4A"/>
    <w:rsid w:val="00B84F7B"/>
    <w:rsid w:val="00B8642D"/>
    <w:rsid w:val="00B90940"/>
    <w:rsid w:val="00B91268"/>
    <w:rsid w:val="00B9192F"/>
    <w:rsid w:val="00B93AF5"/>
    <w:rsid w:val="00B94056"/>
    <w:rsid w:val="00B94244"/>
    <w:rsid w:val="00B94299"/>
    <w:rsid w:val="00B96290"/>
    <w:rsid w:val="00B96EC7"/>
    <w:rsid w:val="00B97217"/>
    <w:rsid w:val="00B972EA"/>
    <w:rsid w:val="00BA0EAD"/>
    <w:rsid w:val="00BA567E"/>
    <w:rsid w:val="00BA6010"/>
    <w:rsid w:val="00BA67B3"/>
    <w:rsid w:val="00BA74D8"/>
    <w:rsid w:val="00BA7C32"/>
    <w:rsid w:val="00BB346D"/>
    <w:rsid w:val="00BB4B8D"/>
    <w:rsid w:val="00BB4D2A"/>
    <w:rsid w:val="00BB5CFD"/>
    <w:rsid w:val="00BC0B87"/>
    <w:rsid w:val="00BC1622"/>
    <w:rsid w:val="00BC2923"/>
    <w:rsid w:val="00BC2ED3"/>
    <w:rsid w:val="00BC2FCB"/>
    <w:rsid w:val="00BC3505"/>
    <w:rsid w:val="00BC639A"/>
    <w:rsid w:val="00BD3140"/>
    <w:rsid w:val="00BD7E0A"/>
    <w:rsid w:val="00BE1BDA"/>
    <w:rsid w:val="00BE1EAD"/>
    <w:rsid w:val="00BE28C2"/>
    <w:rsid w:val="00BE2FC8"/>
    <w:rsid w:val="00BE4C2D"/>
    <w:rsid w:val="00BE62D2"/>
    <w:rsid w:val="00BE6CC5"/>
    <w:rsid w:val="00BF30F6"/>
    <w:rsid w:val="00BF4D0E"/>
    <w:rsid w:val="00BF6BAC"/>
    <w:rsid w:val="00BF6C98"/>
    <w:rsid w:val="00BF6DBB"/>
    <w:rsid w:val="00C02403"/>
    <w:rsid w:val="00C02876"/>
    <w:rsid w:val="00C03246"/>
    <w:rsid w:val="00C0418F"/>
    <w:rsid w:val="00C04C77"/>
    <w:rsid w:val="00C07D12"/>
    <w:rsid w:val="00C07F11"/>
    <w:rsid w:val="00C10A87"/>
    <w:rsid w:val="00C1345F"/>
    <w:rsid w:val="00C13883"/>
    <w:rsid w:val="00C16340"/>
    <w:rsid w:val="00C164FE"/>
    <w:rsid w:val="00C16607"/>
    <w:rsid w:val="00C242CB"/>
    <w:rsid w:val="00C249BE"/>
    <w:rsid w:val="00C25086"/>
    <w:rsid w:val="00C254D0"/>
    <w:rsid w:val="00C2584B"/>
    <w:rsid w:val="00C25D8E"/>
    <w:rsid w:val="00C26758"/>
    <w:rsid w:val="00C30D87"/>
    <w:rsid w:val="00C32DD0"/>
    <w:rsid w:val="00C33182"/>
    <w:rsid w:val="00C33E50"/>
    <w:rsid w:val="00C35738"/>
    <w:rsid w:val="00C35E43"/>
    <w:rsid w:val="00C35EB5"/>
    <w:rsid w:val="00C377A9"/>
    <w:rsid w:val="00C400AA"/>
    <w:rsid w:val="00C4019F"/>
    <w:rsid w:val="00C40FB1"/>
    <w:rsid w:val="00C41CDF"/>
    <w:rsid w:val="00C43ADB"/>
    <w:rsid w:val="00C43BAF"/>
    <w:rsid w:val="00C448E9"/>
    <w:rsid w:val="00C46AC0"/>
    <w:rsid w:val="00C5020F"/>
    <w:rsid w:val="00C506EA"/>
    <w:rsid w:val="00C50E50"/>
    <w:rsid w:val="00C50EC5"/>
    <w:rsid w:val="00C510AF"/>
    <w:rsid w:val="00C54D1A"/>
    <w:rsid w:val="00C54DCA"/>
    <w:rsid w:val="00C563BE"/>
    <w:rsid w:val="00C57302"/>
    <w:rsid w:val="00C57C5D"/>
    <w:rsid w:val="00C6061D"/>
    <w:rsid w:val="00C6163A"/>
    <w:rsid w:val="00C61D93"/>
    <w:rsid w:val="00C63BBF"/>
    <w:rsid w:val="00C64672"/>
    <w:rsid w:val="00C649B1"/>
    <w:rsid w:val="00C65448"/>
    <w:rsid w:val="00C67840"/>
    <w:rsid w:val="00C67A20"/>
    <w:rsid w:val="00C67DDD"/>
    <w:rsid w:val="00C700D5"/>
    <w:rsid w:val="00C71CA4"/>
    <w:rsid w:val="00C71FBB"/>
    <w:rsid w:val="00C7355C"/>
    <w:rsid w:val="00C737E8"/>
    <w:rsid w:val="00C7592B"/>
    <w:rsid w:val="00C764C5"/>
    <w:rsid w:val="00C76B3F"/>
    <w:rsid w:val="00C80266"/>
    <w:rsid w:val="00C80D80"/>
    <w:rsid w:val="00C815DA"/>
    <w:rsid w:val="00C82C3B"/>
    <w:rsid w:val="00C8462F"/>
    <w:rsid w:val="00C849A4"/>
    <w:rsid w:val="00C86DB3"/>
    <w:rsid w:val="00C9019F"/>
    <w:rsid w:val="00C94592"/>
    <w:rsid w:val="00C95651"/>
    <w:rsid w:val="00C96452"/>
    <w:rsid w:val="00C971C4"/>
    <w:rsid w:val="00CA196D"/>
    <w:rsid w:val="00CA1E0C"/>
    <w:rsid w:val="00CA2091"/>
    <w:rsid w:val="00CA2B57"/>
    <w:rsid w:val="00CA356A"/>
    <w:rsid w:val="00CA3C71"/>
    <w:rsid w:val="00CA429C"/>
    <w:rsid w:val="00CA4FBA"/>
    <w:rsid w:val="00CA510C"/>
    <w:rsid w:val="00CA5309"/>
    <w:rsid w:val="00CA5E23"/>
    <w:rsid w:val="00CA6074"/>
    <w:rsid w:val="00CA6964"/>
    <w:rsid w:val="00CA6BBD"/>
    <w:rsid w:val="00CA707E"/>
    <w:rsid w:val="00CA71AE"/>
    <w:rsid w:val="00CA7402"/>
    <w:rsid w:val="00CB1B9D"/>
    <w:rsid w:val="00CB5B18"/>
    <w:rsid w:val="00CB69B9"/>
    <w:rsid w:val="00CB7839"/>
    <w:rsid w:val="00CC1EC5"/>
    <w:rsid w:val="00CC20A5"/>
    <w:rsid w:val="00CC235D"/>
    <w:rsid w:val="00CC260A"/>
    <w:rsid w:val="00CC4B8E"/>
    <w:rsid w:val="00CC5086"/>
    <w:rsid w:val="00CD0FA3"/>
    <w:rsid w:val="00CD21C7"/>
    <w:rsid w:val="00CD29B8"/>
    <w:rsid w:val="00CD3477"/>
    <w:rsid w:val="00CD35DF"/>
    <w:rsid w:val="00CD536B"/>
    <w:rsid w:val="00CD6215"/>
    <w:rsid w:val="00CD7A3F"/>
    <w:rsid w:val="00CE218F"/>
    <w:rsid w:val="00CE4F44"/>
    <w:rsid w:val="00CE5381"/>
    <w:rsid w:val="00CE5455"/>
    <w:rsid w:val="00CE59C3"/>
    <w:rsid w:val="00CF1621"/>
    <w:rsid w:val="00CF3587"/>
    <w:rsid w:val="00CF3F09"/>
    <w:rsid w:val="00CF51AC"/>
    <w:rsid w:val="00CF69DE"/>
    <w:rsid w:val="00D01485"/>
    <w:rsid w:val="00D0160C"/>
    <w:rsid w:val="00D027A0"/>
    <w:rsid w:val="00D066E1"/>
    <w:rsid w:val="00D11B03"/>
    <w:rsid w:val="00D12724"/>
    <w:rsid w:val="00D13745"/>
    <w:rsid w:val="00D15F14"/>
    <w:rsid w:val="00D22789"/>
    <w:rsid w:val="00D22B60"/>
    <w:rsid w:val="00D240D8"/>
    <w:rsid w:val="00D26468"/>
    <w:rsid w:val="00D27368"/>
    <w:rsid w:val="00D278C1"/>
    <w:rsid w:val="00D27AF8"/>
    <w:rsid w:val="00D30108"/>
    <w:rsid w:val="00D4088F"/>
    <w:rsid w:val="00D419F4"/>
    <w:rsid w:val="00D4291A"/>
    <w:rsid w:val="00D4399D"/>
    <w:rsid w:val="00D44C22"/>
    <w:rsid w:val="00D45499"/>
    <w:rsid w:val="00D507BD"/>
    <w:rsid w:val="00D507FE"/>
    <w:rsid w:val="00D537CC"/>
    <w:rsid w:val="00D56E5F"/>
    <w:rsid w:val="00D5702D"/>
    <w:rsid w:val="00D630B6"/>
    <w:rsid w:val="00D631C7"/>
    <w:rsid w:val="00D631E2"/>
    <w:rsid w:val="00D64D1D"/>
    <w:rsid w:val="00D71829"/>
    <w:rsid w:val="00D7355B"/>
    <w:rsid w:val="00D74B2C"/>
    <w:rsid w:val="00D75FCA"/>
    <w:rsid w:val="00D8180F"/>
    <w:rsid w:val="00D845A7"/>
    <w:rsid w:val="00D847EB"/>
    <w:rsid w:val="00D84A3D"/>
    <w:rsid w:val="00D85690"/>
    <w:rsid w:val="00D86912"/>
    <w:rsid w:val="00D87B5F"/>
    <w:rsid w:val="00D922D1"/>
    <w:rsid w:val="00D9374B"/>
    <w:rsid w:val="00D95C03"/>
    <w:rsid w:val="00D96129"/>
    <w:rsid w:val="00D97CDA"/>
    <w:rsid w:val="00DA0D04"/>
    <w:rsid w:val="00DA3CBE"/>
    <w:rsid w:val="00DA3FC8"/>
    <w:rsid w:val="00DA4B87"/>
    <w:rsid w:val="00DA5284"/>
    <w:rsid w:val="00DA6391"/>
    <w:rsid w:val="00DA6544"/>
    <w:rsid w:val="00DB1D5A"/>
    <w:rsid w:val="00DB2A06"/>
    <w:rsid w:val="00DB378F"/>
    <w:rsid w:val="00DB4373"/>
    <w:rsid w:val="00DB4BAE"/>
    <w:rsid w:val="00DC263D"/>
    <w:rsid w:val="00DC2A8E"/>
    <w:rsid w:val="00DC3905"/>
    <w:rsid w:val="00DC5BDD"/>
    <w:rsid w:val="00DC6D46"/>
    <w:rsid w:val="00DC78A9"/>
    <w:rsid w:val="00DC7AFC"/>
    <w:rsid w:val="00DC7F5C"/>
    <w:rsid w:val="00DD1790"/>
    <w:rsid w:val="00DD27B0"/>
    <w:rsid w:val="00DD2FAB"/>
    <w:rsid w:val="00DD359E"/>
    <w:rsid w:val="00DD52C5"/>
    <w:rsid w:val="00DD5883"/>
    <w:rsid w:val="00DD59E1"/>
    <w:rsid w:val="00DD765F"/>
    <w:rsid w:val="00DE254B"/>
    <w:rsid w:val="00DE2F06"/>
    <w:rsid w:val="00DE37D3"/>
    <w:rsid w:val="00DE4783"/>
    <w:rsid w:val="00DE4A2F"/>
    <w:rsid w:val="00DE4B73"/>
    <w:rsid w:val="00DE72D4"/>
    <w:rsid w:val="00DE7339"/>
    <w:rsid w:val="00DF2958"/>
    <w:rsid w:val="00DF583B"/>
    <w:rsid w:val="00DF5E4C"/>
    <w:rsid w:val="00DF60E4"/>
    <w:rsid w:val="00E001BC"/>
    <w:rsid w:val="00E00DE1"/>
    <w:rsid w:val="00E019E2"/>
    <w:rsid w:val="00E01C65"/>
    <w:rsid w:val="00E0280A"/>
    <w:rsid w:val="00E03692"/>
    <w:rsid w:val="00E05E8A"/>
    <w:rsid w:val="00E1385B"/>
    <w:rsid w:val="00E13E1C"/>
    <w:rsid w:val="00E141A0"/>
    <w:rsid w:val="00E14862"/>
    <w:rsid w:val="00E21AEE"/>
    <w:rsid w:val="00E22C9C"/>
    <w:rsid w:val="00E24A7D"/>
    <w:rsid w:val="00E260BC"/>
    <w:rsid w:val="00E3413D"/>
    <w:rsid w:val="00E35C25"/>
    <w:rsid w:val="00E36FFC"/>
    <w:rsid w:val="00E40256"/>
    <w:rsid w:val="00E4295A"/>
    <w:rsid w:val="00E42C4C"/>
    <w:rsid w:val="00E42CB4"/>
    <w:rsid w:val="00E448C0"/>
    <w:rsid w:val="00E4611D"/>
    <w:rsid w:val="00E50AAC"/>
    <w:rsid w:val="00E516E6"/>
    <w:rsid w:val="00E51F62"/>
    <w:rsid w:val="00E52020"/>
    <w:rsid w:val="00E54C04"/>
    <w:rsid w:val="00E61F3B"/>
    <w:rsid w:val="00E6401E"/>
    <w:rsid w:val="00E66F7B"/>
    <w:rsid w:val="00E7048F"/>
    <w:rsid w:val="00E7367D"/>
    <w:rsid w:val="00E76547"/>
    <w:rsid w:val="00E77645"/>
    <w:rsid w:val="00E77677"/>
    <w:rsid w:val="00E800A5"/>
    <w:rsid w:val="00E80315"/>
    <w:rsid w:val="00E80CD6"/>
    <w:rsid w:val="00E83BD6"/>
    <w:rsid w:val="00E83C67"/>
    <w:rsid w:val="00E8780A"/>
    <w:rsid w:val="00E96983"/>
    <w:rsid w:val="00EA07C2"/>
    <w:rsid w:val="00EA12E6"/>
    <w:rsid w:val="00EA566B"/>
    <w:rsid w:val="00EA69FE"/>
    <w:rsid w:val="00EB02F2"/>
    <w:rsid w:val="00EB0585"/>
    <w:rsid w:val="00EB1475"/>
    <w:rsid w:val="00EB41B8"/>
    <w:rsid w:val="00EB5BBC"/>
    <w:rsid w:val="00EB6AD6"/>
    <w:rsid w:val="00EC23BA"/>
    <w:rsid w:val="00EC2AEE"/>
    <w:rsid w:val="00EC6A9A"/>
    <w:rsid w:val="00EC770A"/>
    <w:rsid w:val="00ED111D"/>
    <w:rsid w:val="00ED29CD"/>
    <w:rsid w:val="00ED4359"/>
    <w:rsid w:val="00ED5E13"/>
    <w:rsid w:val="00ED749B"/>
    <w:rsid w:val="00ED7EE2"/>
    <w:rsid w:val="00ED7F22"/>
    <w:rsid w:val="00EE0056"/>
    <w:rsid w:val="00EE00B9"/>
    <w:rsid w:val="00EE09F6"/>
    <w:rsid w:val="00EE165F"/>
    <w:rsid w:val="00EE1C51"/>
    <w:rsid w:val="00EE1CE7"/>
    <w:rsid w:val="00EE22DD"/>
    <w:rsid w:val="00EE363F"/>
    <w:rsid w:val="00EE3F8E"/>
    <w:rsid w:val="00EE4408"/>
    <w:rsid w:val="00EE5862"/>
    <w:rsid w:val="00EF007E"/>
    <w:rsid w:val="00EF0C20"/>
    <w:rsid w:val="00EF1E35"/>
    <w:rsid w:val="00EF2A9B"/>
    <w:rsid w:val="00EF53BE"/>
    <w:rsid w:val="00EF730E"/>
    <w:rsid w:val="00F01F90"/>
    <w:rsid w:val="00F028A0"/>
    <w:rsid w:val="00F054DE"/>
    <w:rsid w:val="00F05719"/>
    <w:rsid w:val="00F07766"/>
    <w:rsid w:val="00F07B2B"/>
    <w:rsid w:val="00F10591"/>
    <w:rsid w:val="00F14C74"/>
    <w:rsid w:val="00F2018A"/>
    <w:rsid w:val="00F2037D"/>
    <w:rsid w:val="00F20E8E"/>
    <w:rsid w:val="00F21100"/>
    <w:rsid w:val="00F26BD3"/>
    <w:rsid w:val="00F27DC0"/>
    <w:rsid w:val="00F30C94"/>
    <w:rsid w:val="00F30F7B"/>
    <w:rsid w:val="00F31196"/>
    <w:rsid w:val="00F364E8"/>
    <w:rsid w:val="00F36652"/>
    <w:rsid w:val="00F369FD"/>
    <w:rsid w:val="00F40290"/>
    <w:rsid w:val="00F45442"/>
    <w:rsid w:val="00F501B4"/>
    <w:rsid w:val="00F51158"/>
    <w:rsid w:val="00F52F06"/>
    <w:rsid w:val="00F5388E"/>
    <w:rsid w:val="00F57162"/>
    <w:rsid w:val="00F578C9"/>
    <w:rsid w:val="00F603EF"/>
    <w:rsid w:val="00F61101"/>
    <w:rsid w:val="00F62582"/>
    <w:rsid w:val="00F62D57"/>
    <w:rsid w:val="00F64C31"/>
    <w:rsid w:val="00F70AFC"/>
    <w:rsid w:val="00F73AAA"/>
    <w:rsid w:val="00F75B36"/>
    <w:rsid w:val="00F771F2"/>
    <w:rsid w:val="00F7799A"/>
    <w:rsid w:val="00F804A3"/>
    <w:rsid w:val="00F80968"/>
    <w:rsid w:val="00F80B25"/>
    <w:rsid w:val="00F81B40"/>
    <w:rsid w:val="00F8215D"/>
    <w:rsid w:val="00F821DB"/>
    <w:rsid w:val="00F8285E"/>
    <w:rsid w:val="00F836BD"/>
    <w:rsid w:val="00F840CF"/>
    <w:rsid w:val="00F85EC4"/>
    <w:rsid w:val="00F86110"/>
    <w:rsid w:val="00F905DE"/>
    <w:rsid w:val="00F907FF"/>
    <w:rsid w:val="00F92384"/>
    <w:rsid w:val="00F930AC"/>
    <w:rsid w:val="00F93672"/>
    <w:rsid w:val="00F962D4"/>
    <w:rsid w:val="00F97795"/>
    <w:rsid w:val="00FA105F"/>
    <w:rsid w:val="00FA18F5"/>
    <w:rsid w:val="00FA1DA8"/>
    <w:rsid w:val="00FA5ABE"/>
    <w:rsid w:val="00FA6675"/>
    <w:rsid w:val="00FA6FB6"/>
    <w:rsid w:val="00FA763F"/>
    <w:rsid w:val="00FB0077"/>
    <w:rsid w:val="00FB088F"/>
    <w:rsid w:val="00FB17EC"/>
    <w:rsid w:val="00FB2F93"/>
    <w:rsid w:val="00FB4875"/>
    <w:rsid w:val="00FB5BE9"/>
    <w:rsid w:val="00FB7147"/>
    <w:rsid w:val="00FB7B87"/>
    <w:rsid w:val="00FC09EB"/>
    <w:rsid w:val="00FC115E"/>
    <w:rsid w:val="00FC1F58"/>
    <w:rsid w:val="00FC78C1"/>
    <w:rsid w:val="00FD2442"/>
    <w:rsid w:val="00FD3312"/>
    <w:rsid w:val="00FD661D"/>
    <w:rsid w:val="00FD7492"/>
    <w:rsid w:val="00FD7A88"/>
    <w:rsid w:val="00FE0B83"/>
    <w:rsid w:val="00FE2782"/>
    <w:rsid w:val="00FE2F0B"/>
    <w:rsid w:val="00FE3059"/>
    <w:rsid w:val="00FE4875"/>
    <w:rsid w:val="00FE4ECB"/>
    <w:rsid w:val="00FE50A0"/>
    <w:rsid w:val="00FF05BF"/>
    <w:rsid w:val="00FF2178"/>
    <w:rsid w:val="00FF30E3"/>
    <w:rsid w:val="00FF3CF4"/>
    <w:rsid w:val="00FF4861"/>
    <w:rsid w:val="00FF555D"/>
    <w:rsid w:val="00FF62C2"/>
    <w:rsid w:val="00FF6CA7"/>
    <w:rsid w:val="00FF7458"/>
    <w:rsid w:val="00F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6A13"/>
  <w15:chartTrackingRefBased/>
  <w15:docId w15:val="{AD5CEB8E-4227-44EC-8C96-3C435E53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0E"/>
  </w:style>
  <w:style w:type="paragraph" w:styleId="Heading3">
    <w:name w:val="heading 3"/>
    <w:basedOn w:val="Normal"/>
    <w:link w:val="Heading3Char"/>
    <w:uiPriority w:val="9"/>
    <w:qFormat/>
    <w:rsid w:val="00545F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08"/>
    <w:pPr>
      <w:ind w:left="720"/>
      <w:contextualSpacing/>
    </w:pPr>
  </w:style>
  <w:style w:type="numbering" w:customStyle="1" w:styleId="WWNum24">
    <w:name w:val="WWNum24"/>
    <w:basedOn w:val="NoList"/>
    <w:rsid w:val="00895C08"/>
    <w:pPr>
      <w:numPr>
        <w:numId w:val="3"/>
      </w:numPr>
    </w:pPr>
  </w:style>
  <w:style w:type="paragraph" w:styleId="NormalWeb">
    <w:name w:val="Normal (Web)"/>
    <w:basedOn w:val="Normal"/>
    <w:uiPriority w:val="99"/>
    <w:unhideWhenUsed/>
    <w:rsid w:val="00895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C08"/>
    <w:rPr>
      <w:color w:val="0000FF"/>
      <w:u w:val="single"/>
    </w:rPr>
  </w:style>
  <w:style w:type="character" w:styleId="PlaceholderText">
    <w:name w:val="Placeholder Text"/>
    <w:basedOn w:val="DefaultParagraphFont"/>
    <w:uiPriority w:val="99"/>
    <w:semiHidden/>
    <w:rsid w:val="00DC7AFC"/>
    <w:rPr>
      <w:color w:val="808080"/>
    </w:rPr>
  </w:style>
  <w:style w:type="character" w:customStyle="1" w:styleId="Heading3Char">
    <w:name w:val="Heading 3 Char"/>
    <w:basedOn w:val="DefaultParagraphFont"/>
    <w:link w:val="Heading3"/>
    <w:uiPriority w:val="9"/>
    <w:rsid w:val="00545F2D"/>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545F2D"/>
  </w:style>
  <w:style w:type="numbering" w:customStyle="1" w:styleId="WWNum241">
    <w:name w:val="WWNum241"/>
    <w:basedOn w:val="NoList"/>
    <w:rsid w:val="00AE0D67"/>
  </w:style>
  <w:style w:type="character" w:styleId="CommentReference">
    <w:name w:val="annotation reference"/>
    <w:basedOn w:val="DefaultParagraphFont"/>
    <w:uiPriority w:val="99"/>
    <w:semiHidden/>
    <w:unhideWhenUsed/>
    <w:rsid w:val="00AE74EB"/>
    <w:rPr>
      <w:sz w:val="16"/>
      <w:szCs w:val="16"/>
    </w:rPr>
  </w:style>
  <w:style w:type="paragraph" w:styleId="CommentText">
    <w:name w:val="annotation text"/>
    <w:basedOn w:val="Normal"/>
    <w:link w:val="CommentTextChar"/>
    <w:uiPriority w:val="99"/>
    <w:unhideWhenUsed/>
    <w:rsid w:val="00AE74EB"/>
    <w:pPr>
      <w:spacing w:line="240" w:lineRule="auto"/>
    </w:pPr>
    <w:rPr>
      <w:sz w:val="20"/>
      <w:szCs w:val="20"/>
    </w:rPr>
  </w:style>
  <w:style w:type="character" w:customStyle="1" w:styleId="CommentTextChar">
    <w:name w:val="Comment Text Char"/>
    <w:basedOn w:val="DefaultParagraphFont"/>
    <w:link w:val="CommentText"/>
    <w:uiPriority w:val="99"/>
    <w:rsid w:val="00AE74EB"/>
    <w:rPr>
      <w:sz w:val="20"/>
      <w:szCs w:val="20"/>
    </w:rPr>
  </w:style>
  <w:style w:type="paragraph" w:styleId="BalloonText">
    <w:name w:val="Balloon Text"/>
    <w:basedOn w:val="Normal"/>
    <w:link w:val="BalloonTextChar"/>
    <w:uiPriority w:val="99"/>
    <w:semiHidden/>
    <w:unhideWhenUsed/>
    <w:rsid w:val="00AE7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4EB"/>
    <w:rPr>
      <w:rFonts w:ascii="Segoe UI" w:hAnsi="Segoe UI" w:cs="Segoe UI"/>
      <w:sz w:val="18"/>
      <w:szCs w:val="18"/>
    </w:rPr>
  </w:style>
  <w:style w:type="table" w:styleId="TableGrid">
    <w:name w:val="Table Grid"/>
    <w:basedOn w:val="TableNormal"/>
    <w:uiPriority w:val="39"/>
    <w:rsid w:val="00E0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45710">
      <w:bodyDiv w:val="1"/>
      <w:marLeft w:val="0"/>
      <w:marRight w:val="0"/>
      <w:marTop w:val="0"/>
      <w:marBottom w:val="0"/>
      <w:divBdr>
        <w:top w:val="none" w:sz="0" w:space="0" w:color="auto"/>
        <w:left w:val="none" w:sz="0" w:space="0" w:color="auto"/>
        <w:bottom w:val="none" w:sz="0" w:space="0" w:color="auto"/>
        <w:right w:val="none" w:sz="0" w:space="0" w:color="auto"/>
      </w:divBdr>
    </w:div>
    <w:div w:id="679547833">
      <w:bodyDiv w:val="1"/>
      <w:marLeft w:val="0"/>
      <w:marRight w:val="0"/>
      <w:marTop w:val="0"/>
      <w:marBottom w:val="0"/>
      <w:divBdr>
        <w:top w:val="none" w:sz="0" w:space="0" w:color="auto"/>
        <w:left w:val="none" w:sz="0" w:space="0" w:color="auto"/>
        <w:bottom w:val="none" w:sz="0" w:space="0" w:color="auto"/>
        <w:right w:val="none" w:sz="0" w:space="0" w:color="auto"/>
      </w:divBdr>
    </w:div>
    <w:div w:id="712536319">
      <w:bodyDiv w:val="1"/>
      <w:marLeft w:val="0"/>
      <w:marRight w:val="0"/>
      <w:marTop w:val="0"/>
      <w:marBottom w:val="0"/>
      <w:divBdr>
        <w:top w:val="none" w:sz="0" w:space="0" w:color="auto"/>
        <w:left w:val="none" w:sz="0" w:space="0" w:color="auto"/>
        <w:bottom w:val="none" w:sz="0" w:space="0" w:color="auto"/>
        <w:right w:val="none" w:sz="0" w:space="0" w:color="auto"/>
      </w:divBdr>
    </w:div>
    <w:div w:id="896287061">
      <w:bodyDiv w:val="1"/>
      <w:marLeft w:val="0"/>
      <w:marRight w:val="0"/>
      <w:marTop w:val="0"/>
      <w:marBottom w:val="0"/>
      <w:divBdr>
        <w:top w:val="none" w:sz="0" w:space="0" w:color="auto"/>
        <w:left w:val="none" w:sz="0" w:space="0" w:color="auto"/>
        <w:bottom w:val="none" w:sz="0" w:space="0" w:color="auto"/>
        <w:right w:val="none" w:sz="0" w:space="0" w:color="auto"/>
      </w:divBdr>
    </w:div>
    <w:div w:id="951672821">
      <w:bodyDiv w:val="1"/>
      <w:marLeft w:val="0"/>
      <w:marRight w:val="0"/>
      <w:marTop w:val="0"/>
      <w:marBottom w:val="0"/>
      <w:divBdr>
        <w:top w:val="none" w:sz="0" w:space="0" w:color="auto"/>
        <w:left w:val="none" w:sz="0" w:space="0" w:color="auto"/>
        <w:bottom w:val="none" w:sz="0" w:space="0" w:color="auto"/>
        <w:right w:val="none" w:sz="0" w:space="0" w:color="auto"/>
      </w:divBdr>
    </w:div>
    <w:div w:id="1300065794">
      <w:bodyDiv w:val="1"/>
      <w:marLeft w:val="0"/>
      <w:marRight w:val="0"/>
      <w:marTop w:val="0"/>
      <w:marBottom w:val="0"/>
      <w:divBdr>
        <w:top w:val="none" w:sz="0" w:space="0" w:color="auto"/>
        <w:left w:val="none" w:sz="0" w:space="0" w:color="auto"/>
        <w:bottom w:val="none" w:sz="0" w:space="0" w:color="auto"/>
        <w:right w:val="none" w:sz="0" w:space="0" w:color="auto"/>
      </w:divBdr>
    </w:div>
    <w:div w:id="1466386202">
      <w:bodyDiv w:val="1"/>
      <w:marLeft w:val="0"/>
      <w:marRight w:val="0"/>
      <w:marTop w:val="0"/>
      <w:marBottom w:val="0"/>
      <w:divBdr>
        <w:top w:val="none" w:sz="0" w:space="0" w:color="auto"/>
        <w:left w:val="none" w:sz="0" w:space="0" w:color="auto"/>
        <w:bottom w:val="none" w:sz="0" w:space="0" w:color="auto"/>
        <w:right w:val="none" w:sz="0" w:space="0" w:color="auto"/>
      </w:divBdr>
    </w:div>
    <w:div w:id="1564485005">
      <w:bodyDiv w:val="1"/>
      <w:marLeft w:val="0"/>
      <w:marRight w:val="0"/>
      <w:marTop w:val="0"/>
      <w:marBottom w:val="0"/>
      <w:divBdr>
        <w:top w:val="none" w:sz="0" w:space="0" w:color="auto"/>
        <w:left w:val="none" w:sz="0" w:space="0" w:color="auto"/>
        <w:bottom w:val="none" w:sz="0" w:space="0" w:color="auto"/>
        <w:right w:val="none" w:sz="0" w:space="0" w:color="auto"/>
      </w:divBdr>
    </w:div>
    <w:div w:id="1756777701">
      <w:bodyDiv w:val="1"/>
      <w:marLeft w:val="0"/>
      <w:marRight w:val="0"/>
      <w:marTop w:val="0"/>
      <w:marBottom w:val="0"/>
      <w:divBdr>
        <w:top w:val="none" w:sz="0" w:space="0" w:color="auto"/>
        <w:left w:val="none" w:sz="0" w:space="0" w:color="auto"/>
        <w:bottom w:val="none" w:sz="0" w:space="0" w:color="auto"/>
        <w:right w:val="none" w:sz="0" w:space="0" w:color="auto"/>
      </w:divBdr>
    </w:div>
    <w:div w:id="19599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www.wisegeek.com/what-is-underwriting.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hyperlink" Target="http://courses.corporatefinanceinstitute.com/collections" TargetMode="External"/><Relationship Id="rId11" Type="http://schemas.openxmlformats.org/officeDocument/2006/relationships/hyperlink" Target="https://www.wisegeek.com/what-are-shares.htm"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wisegeek.com/what-is-a-letter-of-intent.htm" TargetMode="External"/><Relationship Id="rId4" Type="http://schemas.openxmlformats.org/officeDocument/2006/relationships/settings" Target="settings.xml"/><Relationship Id="rId9" Type="http://schemas.openxmlformats.org/officeDocument/2006/relationships/hyperlink" Target="https://www.wisegeek.com/what-is-an-investment-company.ht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9274-CC66-4260-93D0-AEA137B9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20</Pages>
  <Words>7279</Words>
  <Characters>41494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Droussiotis</dc:creator>
  <cp:keywords/>
  <dc:description/>
  <cp:lastModifiedBy>Chris Droussiotis</cp:lastModifiedBy>
  <cp:revision>1650</cp:revision>
  <dcterms:created xsi:type="dcterms:W3CDTF">2019-01-08T11:35:00Z</dcterms:created>
  <dcterms:modified xsi:type="dcterms:W3CDTF">2019-04-27T20:06:00Z</dcterms:modified>
</cp:coreProperties>
</file>