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5F3A3" w14:textId="29F0C355" w:rsidR="007F343C" w:rsidRPr="002D78B7" w:rsidRDefault="005C5687">
      <w:pPr>
        <w:rPr>
          <w:rFonts w:ascii="Arial" w:hAnsi="Arial" w:cs="Arial"/>
          <w:b/>
          <w:bCs/>
          <w:sz w:val="28"/>
          <w:szCs w:val="28"/>
        </w:rPr>
      </w:pPr>
      <w:r w:rsidRPr="002D78B7">
        <w:rPr>
          <w:rFonts w:ascii="Arial" w:hAnsi="Arial" w:cs="Arial"/>
          <w:b/>
          <w:bCs/>
          <w:sz w:val="28"/>
          <w:szCs w:val="28"/>
        </w:rPr>
        <w:t>Business Description:</w:t>
      </w:r>
    </w:p>
    <w:p w14:paraId="148250B9" w14:textId="665F8F90" w:rsidR="005C5687" w:rsidRPr="002D78B7" w:rsidRDefault="005C5687">
      <w:pPr>
        <w:rPr>
          <w:rFonts w:ascii="Arial" w:hAnsi="Arial" w:cs="Arial"/>
        </w:rPr>
      </w:pPr>
      <w:bookmarkStart w:id="0" w:name="_Hlk159475021"/>
    </w:p>
    <w:p w14:paraId="2BEBDE5A" w14:textId="722BA4C6" w:rsidR="002B791F" w:rsidRPr="002D78B7" w:rsidRDefault="00F80F03" w:rsidP="00941214">
      <w:pPr>
        <w:jc w:val="both"/>
        <w:rPr>
          <w:rFonts w:ascii="Arial" w:hAnsi="Arial" w:cs="Arial"/>
          <w:sz w:val="20"/>
          <w:szCs w:val="20"/>
        </w:rPr>
      </w:pPr>
      <w:bookmarkStart w:id="1" w:name="_Hlk159475134"/>
      <w:r>
        <w:rPr>
          <w:rFonts w:ascii="Arial" w:hAnsi="Arial" w:cs="Arial"/>
          <w:sz w:val="20"/>
          <w:szCs w:val="20"/>
        </w:rPr>
        <w:t>48x Ltd</w:t>
      </w:r>
      <w:r w:rsidR="005C5687" w:rsidRPr="002D78B7">
        <w:rPr>
          <w:rFonts w:ascii="Arial" w:hAnsi="Arial" w:cs="Arial"/>
          <w:sz w:val="20"/>
          <w:szCs w:val="20"/>
        </w:rPr>
        <w:t xml:space="preserve">, established in </w:t>
      </w:r>
      <w:r>
        <w:rPr>
          <w:rFonts w:ascii="Arial" w:hAnsi="Arial" w:cs="Arial"/>
          <w:sz w:val="20"/>
          <w:szCs w:val="20"/>
        </w:rPr>
        <w:t>2020</w:t>
      </w:r>
      <w:r w:rsidR="005C5687" w:rsidRPr="002D78B7">
        <w:rPr>
          <w:rFonts w:ascii="Arial" w:hAnsi="Arial" w:cs="Arial"/>
          <w:sz w:val="20"/>
          <w:szCs w:val="20"/>
        </w:rPr>
        <w:t xml:space="preserve">, is a </w:t>
      </w:r>
      <w:r w:rsidR="00AA6FD5" w:rsidRPr="002D78B7">
        <w:rPr>
          <w:rFonts w:ascii="Arial" w:hAnsi="Arial" w:cs="Arial"/>
          <w:sz w:val="20"/>
          <w:szCs w:val="20"/>
        </w:rPr>
        <w:t>MedTech startup</w:t>
      </w:r>
      <w:r w:rsidR="005C5687" w:rsidRPr="002D78B7">
        <w:rPr>
          <w:rFonts w:ascii="Arial" w:hAnsi="Arial" w:cs="Arial"/>
          <w:sz w:val="20"/>
          <w:szCs w:val="20"/>
        </w:rPr>
        <w:t xml:space="preserve"> company that is developing a</w:t>
      </w:r>
      <w:r w:rsidR="00AA6FD5" w:rsidRPr="002D78B7">
        <w:rPr>
          <w:rFonts w:ascii="Arial" w:hAnsi="Arial" w:cs="Arial"/>
          <w:sz w:val="20"/>
          <w:szCs w:val="20"/>
        </w:rPr>
        <w:t xml:space="preserve"> </w:t>
      </w:r>
      <w:r w:rsidR="005C5687" w:rsidRPr="002D78B7">
        <w:rPr>
          <w:rFonts w:ascii="Arial" w:hAnsi="Arial" w:cs="Arial"/>
          <w:sz w:val="20"/>
          <w:szCs w:val="20"/>
        </w:rPr>
        <w:t>screening test for the entire intestine. The company has</w:t>
      </w:r>
      <w:r w:rsidR="00E47C06">
        <w:rPr>
          <w:rFonts w:ascii="Arial" w:hAnsi="Arial" w:cs="Arial"/>
          <w:sz w:val="20"/>
          <w:szCs w:val="20"/>
        </w:rPr>
        <w:t xml:space="preserve"> expertise in</w:t>
      </w:r>
      <w:r w:rsidR="005C5687" w:rsidRPr="002D78B7">
        <w:rPr>
          <w:rFonts w:ascii="Arial" w:hAnsi="Arial" w:cs="Arial"/>
          <w:sz w:val="20"/>
          <w:szCs w:val="20"/>
        </w:rPr>
        <w:t xml:space="preserve"> </w:t>
      </w:r>
      <w:r w:rsidR="00AA6FD5" w:rsidRPr="002D78B7">
        <w:rPr>
          <w:rFonts w:ascii="Arial" w:hAnsi="Arial" w:cs="Arial"/>
          <w:sz w:val="20"/>
          <w:szCs w:val="20"/>
        </w:rPr>
        <w:t>electronics</w:t>
      </w:r>
      <w:r w:rsidR="005C5687" w:rsidRPr="002D78B7">
        <w:rPr>
          <w:rFonts w:ascii="Arial" w:hAnsi="Arial" w:cs="Arial"/>
          <w:sz w:val="20"/>
          <w:szCs w:val="20"/>
        </w:rPr>
        <w:t>,</w:t>
      </w:r>
      <w:r w:rsidR="00AA6FD5" w:rsidRPr="002D78B7">
        <w:rPr>
          <w:rFonts w:ascii="Arial" w:hAnsi="Arial" w:cs="Arial"/>
          <w:sz w:val="20"/>
          <w:szCs w:val="20"/>
        </w:rPr>
        <w:t xml:space="preserve"> optics,</w:t>
      </w:r>
      <w:r w:rsidR="005C5687" w:rsidRPr="002D78B7">
        <w:rPr>
          <w:rFonts w:ascii="Arial" w:hAnsi="Arial" w:cs="Arial"/>
          <w:sz w:val="20"/>
          <w:szCs w:val="20"/>
        </w:rPr>
        <w:t xml:space="preserve"> software</w:t>
      </w:r>
      <w:r w:rsidR="00AA6FD5" w:rsidRPr="002D78B7">
        <w:rPr>
          <w:rFonts w:ascii="Arial" w:hAnsi="Arial" w:cs="Arial"/>
          <w:sz w:val="20"/>
          <w:szCs w:val="20"/>
        </w:rPr>
        <w:t xml:space="preserve"> </w:t>
      </w:r>
      <w:r w:rsidR="005C5687" w:rsidRPr="002D78B7">
        <w:rPr>
          <w:rFonts w:ascii="Arial" w:hAnsi="Arial" w:cs="Arial"/>
          <w:sz w:val="20"/>
          <w:szCs w:val="20"/>
        </w:rPr>
        <w:t xml:space="preserve">and </w:t>
      </w:r>
      <w:r w:rsidR="00AA6FD5" w:rsidRPr="002D78B7">
        <w:rPr>
          <w:rFonts w:ascii="Arial" w:hAnsi="Arial" w:cs="Arial"/>
          <w:sz w:val="20"/>
          <w:szCs w:val="20"/>
        </w:rPr>
        <w:t>theranostic nanopartic</w:t>
      </w:r>
      <w:r w:rsidR="00E47C06">
        <w:rPr>
          <w:rFonts w:ascii="Arial" w:hAnsi="Arial" w:cs="Arial"/>
          <w:sz w:val="20"/>
          <w:szCs w:val="20"/>
        </w:rPr>
        <w:t>le development</w:t>
      </w:r>
      <w:r w:rsidR="00AA6FD5" w:rsidRPr="002D78B7">
        <w:rPr>
          <w:rFonts w:ascii="Arial" w:hAnsi="Arial" w:cs="Arial"/>
          <w:sz w:val="20"/>
          <w:szCs w:val="20"/>
        </w:rPr>
        <w:t xml:space="preserve">. </w:t>
      </w:r>
    </w:p>
    <w:p w14:paraId="19AB5231" w14:textId="25D40898" w:rsidR="002B791F" w:rsidRPr="002D78B7" w:rsidRDefault="002B791F" w:rsidP="00941214">
      <w:pPr>
        <w:jc w:val="both"/>
        <w:rPr>
          <w:rFonts w:ascii="Arial" w:hAnsi="Arial" w:cs="Arial"/>
          <w:sz w:val="20"/>
          <w:szCs w:val="20"/>
        </w:rPr>
      </w:pPr>
    </w:p>
    <w:p w14:paraId="3FCB7F69" w14:textId="2646971C" w:rsidR="00144211" w:rsidRDefault="00D12776" w:rsidP="00941214">
      <w:pPr>
        <w:jc w:val="both"/>
        <w:rPr>
          <w:rFonts w:ascii="Arial" w:hAnsi="Arial" w:cs="Arial"/>
          <w:sz w:val="20"/>
          <w:szCs w:val="20"/>
        </w:rPr>
      </w:pPr>
      <w:r w:rsidRPr="00EB6BBE">
        <w:rPr>
          <w:rFonts w:cs="Arial"/>
          <w:i/>
          <w:iCs/>
          <w:noProof/>
          <w:color w:val="000000" w:themeColor="text1"/>
          <w:sz w:val="20"/>
          <w:szCs w:val="20"/>
        </w:rPr>
        <mc:AlternateContent>
          <mc:Choice Requires="wps">
            <w:drawing>
              <wp:anchor distT="0" distB="0" distL="114300" distR="114300" simplePos="0" relativeHeight="251659264" behindDoc="1" locked="0" layoutInCell="1" allowOverlap="1" wp14:anchorId="673D8602" wp14:editId="2B7B7AD1">
                <wp:simplePos x="0" y="0"/>
                <wp:positionH relativeFrom="column">
                  <wp:posOffset>1786678</wp:posOffset>
                </wp:positionH>
                <wp:positionV relativeFrom="paragraph">
                  <wp:posOffset>26881</wp:posOffset>
                </wp:positionV>
                <wp:extent cx="3860800" cy="1760855"/>
                <wp:effectExtent l="0" t="0" r="0" b="4445"/>
                <wp:wrapTight wrapText="bothSides">
                  <wp:wrapPolygon edited="0">
                    <wp:start x="0" y="0"/>
                    <wp:lineTo x="0" y="21499"/>
                    <wp:lineTo x="21529" y="21499"/>
                    <wp:lineTo x="2152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860800" cy="1760855"/>
                        </a:xfrm>
                        <a:prstGeom prst="rect">
                          <a:avLst/>
                        </a:prstGeom>
                        <a:solidFill>
                          <a:schemeClr val="lt1"/>
                        </a:solidFill>
                        <a:ln w="6350">
                          <a:noFill/>
                        </a:ln>
                      </wps:spPr>
                      <wps:txbx>
                        <w:txbxContent>
                          <w:p w14:paraId="747CFBE1" w14:textId="77777777" w:rsidR="00144211" w:rsidRDefault="00144211" w:rsidP="00144211">
                            <w:pPr>
                              <w:jc w:val="center"/>
                            </w:pPr>
                            <w:r>
                              <w:rPr>
                                <w:noProof/>
                              </w:rPr>
                              <w:drawing>
                                <wp:inline distT="0" distB="0" distL="0" distR="0" wp14:anchorId="4B4C6435" wp14:editId="1B25634C">
                                  <wp:extent cx="3147201" cy="14986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5277" cy="1592918"/>
                                          </a:xfrm>
                                          <a:prstGeom prst="rect">
                                            <a:avLst/>
                                          </a:prstGeom>
                                        </pic:spPr>
                                      </pic:pic>
                                    </a:graphicData>
                                  </a:graphic>
                                </wp:inline>
                              </w:drawing>
                            </w:r>
                          </w:p>
                          <w:p w14:paraId="79D7E092" w14:textId="59A745B4" w:rsidR="00144211" w:rsidRPr="004E0ABA" w:rsidRDefault="00144211" w:rsidP="00144211">
                            <w:pPr>
                              <w:pStyle w:val="Caption"/>
                              <w:jc w:val="center"/>
                              <w:rPr>
                                <w:rFonts w:eastAsia="Arial Narrow" w:cs="Arial"/>
                                <w:noProof/>
                                <w:sz w:val="20"/>
                                <w:szCs w:val="20"/>
                              </w:rPr>
                            </w:pPr>
                            <w:bookmarkStart w:id="2" w:name="_Ref20844359"/>
                            <w:r w:rsidRPr="004E0ABA">
                              <w:rPr>
                                <w:sz w:val="16"/>
                                <w:szCs w:val="16"/>
                              </w:rPr>
                              <w:t xml:space="preserve">Figure </w:t>
                            </w:r>
                            <w:bookmarkEnd w:id="2"/>
                            <w:r w:rsidRPr="004E0ABA">
                              <w:rPr>
                                <w:sz w:val="16"/>
                                <w:szCs w:val="16"/>
                              </w:rPr>
                              <w:t>1- Five-year survival rate dependency on Stage of Cancer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D8602" id="_x0000_t202" coordsize="21600,21600" o:spt="202" path="m,l,21600r21600,l21600,xe">
                <v:stroke joinstyle="miter"/>
                <v:path gradientshapeok="t" o:connecttype="rect"/>
              </v:shapetype>
              <v:shape id="Text Box 8" o:spid="_x0000_s1026" type="#_x0000_t202" style="position:absolute;left:0;text-align:left;margin-left:140.7pt;margin-top:2.1pt;width:304pt;height:13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nLAIAAFUEAAAOAAAAZHJzL2Uyb0RvYy54bWysVE2P2jAQvVfqf7B8LwkssDQirCgrqkpo&#10;dyW22rNxbBLJ8bi2IaG/vmMnfHTbU9WLM+MZP8+8ec7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" fillcolor="white [3201]" stroked="f" strokeweight=".5pt">
                <v:textbox>
                  <w:txbxContent>
                    <w:p w14:paraId="747CFBE1" w14:textId="77777777" w:rsidR="00144211" w:rsidRDefault="00144211" w:rsidP="00144211">
                      <w:pPr>
                        <w:jc w:val="center"/>
                      </w:pPr>
                      <w:r>
                        <w:rPr>
                          <w:noProof/>
                        </w:rPr>
                        <w:drawing>
                          <wp:inline distT="0" distB="0" distL="0" distR="0" wp14:anchorId="4B4C6435" wp14:editId="1B25634C">
                            <wp:extent cx="3147201" cy="14986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5277" cy="1592918"/>
                                    </a:xfrm>
                                    <a:prstGeom prst="rect">
                                      <a:avLst/>
                                    </a:prstGeom>
                                  </pic:spPr>
                                </pic:pic>
                              </a:graphicData>
                            </a:graphic>
                          </wp:inline>
                        </w:drawing>
                      </w:r>
                    </w:p>
                    <w:p w14:paraId="79D7E092" w14:textId="59A745B4" w:rsidR="00144211" w:rsidRPr="004E0ABA" w:rsidRDefault="00144211" w:rsidP="00144211">
                      <w:pPr>
                        <w:pStyle w:val="Caption"/>
                        <w:jc w:val="center"/>
                        <w:rPr>
                          <w:rFonts w:eastAsia="Arial Narrow" w:cs="Arial"/>
                          <w:noProof/>
                          <w:sz w:val="20"/>
                          <w:szCs w:val="20"/>
                        </w:rPr>
                      </w:pPr>
                      <w:bookmarkStart w:id="3" w:name="_Ref20844359"/>
                      <w:r w:rsidRPr="004E0ABA">
                        <w:rPr>
                          <w:sz w:val="16"/>
                          <w:szCs w:val="16"/>
                        </w:rPr>
                        <w:t xml:space="preserve">Figure </w:t>
                      </w:r>
                      <w:bookmarkEnd w:id="3"/>
                      <w:r w:rsidRPr="004E0ABA">
                        <w:rPr>
                          <w:sz w:val="16"/>
                          <w:szCs w:val="16"/>
                        </w:rPr>
                        <w:t>1- Five-year survival rate dependency on Stage of Cancer Detection</w:t>
                      </w:r>
                    </w:p>
                  </w:txbxContent>
                </v:textbox>
                <w10:wrap type="tight"/>
              </v:shape>
            </w:pict>
          </mc:Fallback>
        </mc:AlternateContent>
      </w:r>
      <w:r w:rsidR="002B791F" w:rsidRPr="002D78B7">
        <w:rPr>
          <w:rFonts w:ascii="Arial" w:hAnsi="Arial" w:cs="Arial"/>
          <w:sz w:val="20"/>
          <w:szCs w:val="20"/>
        </w:rPr>
        <w:t>About 880,000 people die every year because of late diagnosis of colon cancer.</w:t>
      </w:r>
      <w:r w:rsidR="00144962">
        <w:rPr>
          <w:rFonts w:ascii="Arial" w:hAnsi="Arial" w:cs="Arial"/>
          <w:sz w:val="20"/>
          <w:szCs w:val="20"/>
        </w:rPr>
        <w:t xml:space="preserve"> </w:t>
      </w:r>
      <w:r w:rsidR="00144211">
        <w:rPr>
          <w:rFonts w:ascii="Arial" w:hAnsi="Arial" w:cs="Arial"/>
          <w:sz w:val="20"/>
          <w:szCs w:val="20"/>
        </w:rPr>
        <w:t xml:space="preserve">If the diagnosis is made </w:t>
      </w:r>
      <w:r>
        <w:rPr>
          <w:rFonts w:ascii="Arial" w:hAnsi="Arial" w:cs="Arial"/>
          <w:sz w:val="20"/>
          <w:szCs w:val="20"/>
        </w:rPr>
        <w:t>early on</w:t>
      </w:r>
      <w:r w:rsidR="00857CA1">
        <w:rPr>
          <w:rFonts w:ascii="Arial" w:hAnsi="Arial" w:cs="Arial"/>
          <w:sz w:val="20"/>
          <w:szCs w:val="20"/>
        </w:rPr>
        <w:t>,</w:t>
      </w:r>
      <w:r w:rsidR="00144211">
        <w:rPr>
          <w:rFonts w:ascii="Arial" w:hAnsi="Arial" w:cs="Arial"/>
          <w:sz w:val="20"/>
          <w:szCs w:val="20"/>
        </w:rPr>
        <w:t xml:space="preserve"> this disease is highly curable</w:t>
      </w:r>
      <w:r w:rsidR="00857CA1">
        <w:rPr>
          <w:rFonts w:ascii="Arial" w:hAnsi="Arial" w:cs="Arial"/>
          <w:sz w:val="20"/>
          <w:szCs w:val="20"/>
        </w:rPr>
        <w:t xml:space="preserve">. </w:t>
      </w:r>
      <w:r w:rsidR="00144211">
        <w:rPr>
          <w:rFonts w:ascii="Arial" w:hAnsi="Arial" w:cs="Arial"/>
          <w:sz w:val="20"/>
          <w:szCs w:val="20"/>
        </w:rPr>
        <w:t>Figure 1</w:t>
      </w:r>
      <w:r w:rsidR="00857CA1">
        <w:rPr>
          <w:rFonts w:ascii="Arial" w:hAnsi="Arial" w:cs="Arial"/>
          <w:sz w:val="20"/>
          <w:szCs w:val="20"/>
        </w:rPr>
        <w:t xml:space="preserve"> illustrates the treatment success rate dropping with the various stages of detection</w:t>
      </w:r>
      <w:r w:rsidR="00144211">
        <w:rPr>
          <w:rFonts w:ascii="Arial" w:hAnsi="Arial" w:cs="Arial"/>
          <w:sz w:val="20"/>
          <w:szCs w:val="20"/>
        </w:rPr>
        <w:t xml:space="preserve">. </w:t>
      </w:r>
    </w:p>
    <w:p w14:paraId="1BEF1409" w14:textId="77777777" w:rsidR="00E47C06" w:rsidRDefault="00144962" w:rsidP="00941214">
      <w:pPr>
        <w:jc w:val="both"/>
        <w:rPr>
          <w:rFonts w:ascii="Arial" w:hAnsi="Arial" w:cs="Arial"/>
          <w:sz w:val="20"/>
          <w:szCs w:val="20"/>
        </w:rPr>
      </w:pPr>
      <w:r>
        <w:rPr>
          <w:rFonts w:ascii="Arial" w:hAnsi="Arial" w:cs="Arial"/>
          <w:sz w:val="20"/>
          <w:szCs w:val="20"/>
        </w:rPr>
        <w:t>The current “gold standar</w:t>
      </w:r>
      <w:r w:rsidR="00144211">
        <w:rPr>
          <w:rFonts w:ascii="Arial" w:hAnsi="Arial" w:cs="Arial"/>
          <w:sz w:val="20"/>
          <w:szCs w:val="20"/>
        </w:rPr>
        <w:t>d” test for colon screening is colonoscopy, which remains a much-</w:t>
      </w:r>
      <w:r w:rsidR="00857CA1">
        <w:rPr>
          <w:rFonts w:ascii="Arial" w:hAnsi="Arial" w:cs="Arial"/>
          <w:sz w:val="20"/>
          <w:szCs w:val="20"/>
        </w:rPr>
        <w:t>avoided</w:t>
      </w:r>
      <w:r w:rsidR="00144211">
        <w:rPr>
          <w:rFonts w:ascii="Arial" w:hAnsi="Arial" w:cs="Arial"/>
          <w:sz w:val="20"/>
          <w:szCs w:val="20"/>
        </w:rPr>
        <w:t xml:space="preserve"> procedure for the </w:t>
      </w:r>
      <w:r w:rsidR="00D12776">
        <w:rPr>
          <w:rFonts w:ascii="Arial" w:hAnsi="Arial" w:cs="Arial"/>
          <w:sz w:val="20"/>
          <w:szCs w:val="20"/>
        </w:rPr>
        <w:t xml:space="preserve">reasons </w:t>
      </w:r>
      <w:r w:rsidR="00857CA1">
        <w:rPr>
          <w:rFonts w:ascii="Arial" w:hAnsi="Arial" w:cs="Arial"/>
          <w:sz w:val="20"/>
          <w:szCs w:val="20"/>
        </w:rPr>
        <w:t xml:space="preserve">identified in Figure 2, </w:t>
      </w:r>
      <w:r w:rsidR="00D12776">
        <w:rPr>
          <w:rFonts w:ascii="Arial" w:hAnsi="Arial" w:cs="Arial"/>
          <w:sz w:val="20"/>
          <w:szCs w:val="20"/>
        </w:rPr>
        <w:t>according to a study conducted by the Mayo Clinic.</w:t>
      </w:r>
      <w:r w:rsidR="00857CA1">
        <w:rPr>
          <w:rFonts w:ascii="Arial" w:hAnsi="Arial" w:cs="Arial"/>
          <w:sz w:val="20"/>
          <w:szCs w:val="20"/>
        </w:rPr>
        <w:t xml:space="preserve"> </w:t>
      </w:r>
    </w:p>
    <w:p w14:paraId="62EDD0E4" w14:textId="77777777" w:rsidR="00E47C06" w:rsidRDefault="00E47C06" w:rsidP="00941214">
      <w:pPr>
        <w:jc w:val="both"/>
        <w:rPr>
          <w:rFonts w:ascii="Arial" w:hAnsi="Arial" w:cs="Arial"/>
          <w:sz w:val="20"/>
          <w:szCs w:val="20"/>
        </w:rPr>
      </w:pPr>
    </w:p>
    <w:p w14:paraId="0FF4607D" w14:textId="42B9B136" w:rsidR="00D12776" w:rsidRDefault="00F80F03" w:rsidP="00941214">
      <w:pPr>
        <w:jc w:val="both"/>
        <w:rPr>
          <w:rFonts w:ascii="Arial" w:hAnsi="Arial" w:cs="Arial"/>
          <w:sz w:val="20"/>
          <w:szCs w:val="20"/>
        </w:rPr>
      </w:pPr>
      <w:r>
        <w:rPr>
          <w:rFonts w:ascii="Arial" w:hAnsi="Arial" w:cs="Arial"/>
          <w:sz w:val="20"/>
          <w:szCs w:val="20"/>
        </w:rPr>
        <w:t>48X’s</w:t>
      </w:r>
      <w:r w:rsidR="00857CA1">
        <w:rPr>
          <w:rFonts w:ascii="Arial" w:hAnsi="Arial" w:cs="Arial"/>
          <w:sz w:val="20"/>
          <w:szCs w:val="20"/>
        </w:rPr>
        <w:t xml:space="preserve"> solution to intestinal cancer screening aims to overcome the drawbacks of regular colonoscopy for</w:t>
      </w:r>
      <w:r w:rsidR="007E3D2A">
        <w:rPr>
          <w:rFonts w:ascii="Arial" w:hAnsi="Arial" w:cs="Arial"/>
          <w:sz w:val="20"/>
          <w:szCs w:val="20"/>
        </w:rPr>
        <w:t xml:space="preserve"> large bowel cancer screening.</w:t>
      </w:r>
    </w:p>
    <w:bookmarkEnd w:id="1"/>
    <w:p w14:paraId="7E9AC25E" w14:textId="3E7BAA3C" w:rsidR="00D12776" w:rsidRDefault="00E104BB" w:rsidP="00941214">
      <w:pPr>
        <w:jc w:val="both"/>
        <w:rPr>
          <w:rFonts w:ascii="Arial" w:hAnsi="Arial" w:cs="Arial"/>
          <w:sz w:val="20"/>
          <w:szCs w:val="20"/>
        </w:rPr>
      </w:pPr>
      <w:r w:rsidRPr="00EB6BBE">
        <w:rPr>
          <w:noProof/>
          <w:sz w:val="20"/>
          <w:szCs w:val="20"/>
        </w:rPr>
        <mc:AlternateContent>
          <mc:Choice Requires="wps">
            <w:drawing>
              <wp:anchor distT="0" distB="0" distL="114300" distR="114300" simplePos="0" relativeHeight="251661312" behindDoc="1" locked="0" layoutInCell="1" allowOverlap="1" wp14:anchorId="1B084A5F" wp14:editId="0C1692D2">
                <wp:simplePos x="0" y="0"/>
                <wp:positionH relativeFrom="column">
                  <wp:posOffset>16510</wp:posOffset>
                </wp:positionH>
                <wp:positionV relativeFrom="paragraph">
                  <wp:posOffset>204470</wp:posOffset>
                </wp:positionV>
                <wp:extent cx="3107055" cy="1464310"/>
                <wp:effectExtent l="0" t="0" r="4445" b="0"/>
                <wp:wrapTight wrapText="bothSides">
                  <wp:wrapPolygon edited="0">
                    <wp:start x="0" y="0"/>
                    <wp:lineTo x="0" y="21356"/>
                    <wp:lineTo x="21543" y="21356"/>
                    <wp:lineTo x="2154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107055" cy="1464310"/>
                        </a:xfrm>
                        <a:prstGeom prst="rect">
                          <a:avLst/>
                        </a:prstGeom>
                        <a:solidFill>
                          <a:schemeClr val="lt1"/>
                        </a:solidFill>
                        <a:ln w="6350">
                          <a:noFill/>
                        </a:ln>
                      </wps:spPr>
                      <wps:txbx>
                        <w:txbxContent>
                          <w:p w14:paraId="780B5D63" w14:textId="77777777" w:rsidR="004E0ABA" w:rsidRDefault="004E0ABA" w:rsidP="004E0ABA">
                            <w:r>
                              <w:rPr>
                                <w:noProof/>
                              </w:rPr>
                              <w:drawing>
                                <wp:inline distT="0" distB="0" distL="0" distR="0" wp14:anchorId="1E337E9B" wp14:editId="3491BDBB">
                                  <wp:extent cx="2937933" cy="109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0-08 at 10.59.10 AM.png"/>
                                          <pic:cNvPicPr/>
                                        </pic:nvPicPr>
                                        <pic:blipFill>
                                          <a:blip r:embed="rId8">
                                            <a:extLst>
                                              <a:ext uri="{28A0092B-C50C-407E-A947-70E740481C1C}">
                                                <a14:useLocalDpi xmlns:a14="http://schemas.microsoft.com/office/drawing/2010/main" val="0"/>
                                              </a:ext>
                                            </a:extLst>
                                          </a:blip>
                                          <a:stretch>
                                            <a:fillRect/>
                                          </a:stretch>
                                        </pic:blipFill>
                                        <pic:spPr>
                                          <a:xfrm>
                                            <a:off x="0" y="0"/>
                                            <a:ext cx="3040465" cy="1134457"/>
                                          </a:xfrm>
                                          <a:prstGeom prst="rect">
                                            <a:avLst/>
                                          </a:prstGeom>
                                        </pic:spPr>
                                      </pic:pic>
                                    </a:graphicData>
                                  </a:graphic>
                                </wp:inline>
                              </w:drawing>
                            </w:r>
                          </w:p>
                          <w:p w14:paraId="670AA11D" w14:textId="12AF3B1D" w:rsidR="004E0ABA" w:rsidRPr="00E104BB" w:rsidRDefault="004E0ABA" w:rsidP="007E3D2A">
                            <w:pPr>
                              <w:pStyle w:val="Caption"/>
                              <w:jc w:val="center"/>
                              <w:rPr>
                                <w:sz w:val="16"/>
                                <w:szCs w:val="16"/>
                              </w:rPr>
                            </w:pPr>
                            <w:bookmarkStart w:id="4" w:name="_Ref21186436"/>
                            <w:r w:rsidRPr="00E104BB">
                              <w:rPr>
                                <w:sz w:val="16"/>
                                <w:szCs w:val="16"/>
                              </w:rPr>
                              <w:t xml:space="preserve">Figure </w:t>
                            </w:r>
                            <w:bookmarkEnd w:id="4"/>
                            <w:r w:rsidRPr="00E104BB">
                              <w:rPr>
                                <w:sz w:val="16"/>
                                <w:szCs w:val="16"/>
                              </w:rPr>
                              <w:t>2- Reasons why people avoid colonoscopy as a CRC screening test</w:t>
                            </w:r>
                            <w:r w:rsidRPr="00E104BB">
                              <w:rPr>
                                <w:rStyle w:val="FootnoteReference"/>
                                <w:sz w:val="16"/>
                                <w:szCs w:val="16"/>
                              </w:rPr>
                              <w:footnoteRef/>
                            </w:r>
                          </w:p>
                          <w:p w14:paraId="1DD3C302" w14:textId="77777777" w:rsidR="004E0ABA" w:rsidRDefault="004E0ABA" w:rsidP="004E0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4A5F" id="Text Box 23" o:spid="_x0000_s1027" type="#_x0000_t202" style="position:absolute;left:0;text-align:left;margin-left:1.3pt;margin-top:16.1pt;width:244.65pt;height:1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" fillcolor="white [3201]" stroked="f" strokeweight=".5pt">
                <v:textbox>
                  <w:txbxContent>
                    <w:p w14:paraId="780B5D63" w14:textId="77777777" w:rsidR="004E0ABA" w:rsidRDefault="004E0ABA" w:rsidP="004E0ABA">
                      <w:r>
                        <w:rPr>
                          <w:noProof/>
                        </w:rPr>
                        <w:drawing>
                          <wp:inline distT="0" distB="0" distL="0" distR="0" wp14:anchorId="1E337E9B" wp14:editId="3491BDBB">
                            <wp:extent cx="2937933" cy="109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0-08 at 10.59.10 AM.png"/>
                                    <pic:cNvPicPr/>
                                  </pic:nvPicPr>
                                  <pic:blipFill>
                                    <a:blip r:embed="rId8">
                                      <a:extLst>
                                        <a:ext uri="{28A0092B-C50C-407E-A947-70E740481C1C}">
                                          <a14:useLocalDpi xmlns:a14="http://schemas.microsoft.com/office/drawing/2010/main" val="0"/>
                                        </a:ext>
                                      </a:extLst>
                                    </a:blip>
                                    <a:stretch>
                                      <a:fillRect/>
                                    </a:stretch>
                                  </pic:blipFill>
                                  <pic:spPr>
                                    <a:xfrm>
                                      <a:off x="0" y="0"/>
                                      <a:ext cx="3040465" cy="1134457"/>
                                    </a:xfrm>
                                    <a:prstGeom prst="rect">
                                      <a:avLst/>
                                    </a:prstGeom>
                                  </pic:spPr>
                                </pic:pic>
                              </a:graphicData>
                            </a:graphic>
                          </wp:inline>
                        </w:drawing>
                      </w:r>
                    </w:p>
                    <w:p w14:paraId="670AA11D" w14:textId="12AF3B1D" w:rsidR="004E0ABA" w:rsidRPr="00E104BB" w:rsidRDefault="004E0ABA" w:rsidP="007E3D2A">
                      <w:pPr>
                        <w:pStyle w:val="Caption"/>
                        <w:jc w:val="center"/>
                        <w:rPr>
                          <w:sz w:val="16"/>
                          <w:szCs w:val="16"/>
                        </w:rPr>
                      </w:pPr>
                      <w:bookmarkStart w:id="5" w:name="_Ref21186436"/>
                      <w:r w:rsidRPr="00E104BB">
                        <w:rPr>
                          <w:sz w:val="16"/>
                          <w:szCs w:val="16"/>
                        </w:rPr>
                        <w:t xml:space="preserve">Figure </w:t>
                      </w:r>
                      <w:bookmarkEnd w:id="5"/>
                      <w:r w:rsidRPr="00E104BB">
                        <w:rPr>
                          <w:sz w:val="16"/>
                          <w:szCs w:val="16"/>
                        </w:rPr>
                        <w:t>2- Reasons why people avoid colonoscopy as a CRC screening test</w:t>
                      </w:r>
                      <w:r w:rsidRPr="00E104BB">
                        <w:rPr>
                          <w:rStyle w:val="FootnoteReference"/>
                          <w:sz w:val="16"/>
                          <w:szCs w:val="16"/>
                        </w:rPr>
                        <w:footnoteRef/>
                      </w:r>
                    </w:p>
                    <w:p w14:paraId="1DD3C302" w14:textId="77777777" w:rsidR="004E0ABA" w:rsidRDefault="004E0ABA" w:rsidP="004E0ABA"/>
                  </w:txbxContent>
                </v:textbox>
                <w10:wrap type="tight"/>
              </v:shape>
            </w:pict>
          </mc:Fallback>
        </mc:AlternateContent>
      </w:r>
    </w:p>
    <w:p w14:paraId="6243F60E" w14:textId="202B1C7B" w:rsidR="00B70066" w:rsidRDefault="00B70066" w:rsidP="00B70066">
      <w:pPr>
        <w:jc w:val="both"/>
        <w:rPr>
          <w:rFonts w:ascii="Arial" w:hAnsi="Arial" w:cs="Arial"/>
          <w:b/>
          <w:bCs/>
        </w:rPr>
      </w:pPr>
      <w:r>
        <w:rPr>
          <w:rFonts w:ascii="Arial" w:hAnsi="Arial" w:cs="Arial"/>
          <w:b/>
          <w:bCs/>
        </w:rPr>
        <w:t>Funding</w:t>
      </w:r>
      <w:r w:rsidRPr="002D78B7">
        <w:rPr>
          <w:rFonts w:ascii="Arial" w:hAnsi="Arial" w:cs="Arial"/>
          <w:b/>
          <w:bCs/>
        </w:rPr>
        <w:t>:</w:t>
      </w:r>
    </w:p>
    <w:p w14:paraId="26411B15" w14:textId="4B4851E3" w:rsidR="00CF5510" w:rsidRDefault="00F80F03" w:rsidP="00941214">
      <w:pPr>
        <w:jc w:val="both"/>
        <w:rPr>
          <w:rFonts w:ascii="Arial" w:hAnsi="Arial" w:cs="Arial"/>
          <w:sz w:val="20"/>
          <w:szCs w:val="20"/>
        </w:rPr>
      </w:pPr>
      <w:r>
        <w:rPr>
          <w:rFonts w:ascii="Arial" w:hAnsi="Arial" w:cs="Arial"/>
          <w:sz w:val="20"/>
          <w:szCs w:val="20"/>
        </w:rPr>
        <w:t>48x Ltd</w:t>
      </w:r>
      <w:r w:rsidR="007E3D2A">
        <w:rPr>
          <w:rFonts w:ascii="Arial" w:hAnsi="Arial" w:cs="Arial"/>
          <w:sz w:val="20"/>
          <w:szCs w:val="20"/>
        </w:rPr>
        <w:t xml:space="preserve"> </w:t>
      </w:r>
      <w:r w:rsidR="00B70066">
        <w:rPr>
          <w:rFonts w:ascii="Arial" w:hAnsi="Arial" w:cs="Arial"/>
          <w:sz w:val="20"/>
          <w:szCs w:val="20"/>
        </w:rPr>
        <w:t>started with the cofounders putting in the initial share capital. It then proceeded to wi</w:t>
      </w:r>
      <w:r w:rsidR="00CF5510">
        <w:rPr>
          <w:rFonts w:ascii="Arial" w:hAnsi="Arial" w:cs="Arial"/>
          <w:sz w:val="20"/>
          <w:szCs w:val="20"/>
        </w:rPr>
        <w:t>n prizes</w:t>
      </w:r>
      <w:r w:rsidR="007E3D2A">
        <w:rPr>
          <w:rFonts w:ascii="Arial" w:hAnsi="Arial" w:cs="Arial"/>
          <w:sz w:val="20"/>
          <w:szCs w:val="20"/>
        </w:rPr>
        <w:t xml:space="preserve"> </w:t>
      </w:r>
      <w:r w:rsidR="00B70066">
        <w:rPr>
          <w:rFonts w:ascii="Arial" w:hAnsi="Arial" w:cs="Arial"/>
          <w:sz w:val="20"/>
          <w:szCs w:val="20"/>
        </w:rPr>
        <w:t>from</w:t>
      </w:r>
      <w:r w:rsidR="007E3D2A">
        <w:rPr>
          <w:rFonts w:ascii="Arial" w:hAnsi="Arial" w:cs="Arial"/>
          <w:sz w:val="20"/>
          <w:szCs w:val="20"/>
        </w:rPr>
        <w:t xml:space="preserve"> multiple startup competitions, including the MITEF Greece Startup Competition</w:t>
      </w:r>
      <w:r w:rsidR="00CF5510">
        <w:rPr>
          <w:rFonts w:ascii="Arial" w:hAnsi="Arial" w:cs="Arial"/>
          <w:sz w:val="20"/>
          <w:szCs w:val="20"/>
        </w:rPr>
        <w:t>,</w:t>
      </w:r>
      <w:r w:rsidR="007E3D2A">
        <w:rPr>
          <w:rFonts w:ascii="Arial" w:hAnsi="Arial" w:cs="Arial"/>
          <w:sz w:val="20"/>
          <w:szCs w:val="20"/>
        </w:rPr>
        <w:t xml:space="preserve"> where it won 1</w:t>
      </w:r>
      <w:r w:rsidR="007E3D2A" w:rsidRPr="007E3D2A">
        <w:rPr>
          <w:rFonts w:ascii="Arial" w:hAnsi="Arial" w:cs="Arial"/>
          <w:sz w:val="20"/>
          <w:szCs w:val="20"/>
          <w:vertAlign w:val="superscript"/>
        </w:rPr>
        <w:t>st</w:t>
      </w:r>
      <w:r w:rsidR="007E3D2A">
        <w:rPr>
          <w:rFonts w:ascii="Arial" w:hAnsi="Arial" w:cs="Arial"/>
          <w:sz w:val="20"/>
          <w:szCs w:val="20"/>
        </w:rPr>
        <w:t xml:space="preserve"> place in 2018. </w:t>
      </w:r>
    </w:p>
    <w:p w14:paraId="32B5A03D" w14:textId="1A7F3C03" w:rsidR="00D12776" w:rsidRDefault="00B70066" w:rsidP="00941214">
      <w:pPr>
        <w:jc w:val="both"/>
        <w:rPr>
          <w:rFonts w:ascii="Arial" w:hAnsi="Arial" w:cs="Arial"/>
          <w:sz w:val="20"/>
          <w:szCs w:val="20"/>
        </w:rPr>
      </w:pPr>
      <w:r>
        <w:rPr>
          <w:rFonts w:ascii="Arial" w:hAnsi="Arial" w:cs="Arial"/>
          <w:sz w:val="20"/>
          <w:szCs w:val="20"/>
        </w:rPr>
        <w:t>In 2020</w:t>
      </w:r>
      <w:r w:rsidR="007E3D2A">
        <w:rPr>
          <w:rFonts w:ascii="Arial" w:hAnsi="Arial" w:cs="Arial"/>
          <w:sz w:val="20"/>
          <w:szCs w:val="20"/>
        </w:rPr>
        <w:t xml:space="preserve"> it won a</w:t>
      </w:r>
      <w:r w:rsidR="00CF5510">
        <w:rPr>
          <w:rFonts w:ascii="Arial" w:hAnsi="Arial" w:cs="Arial"/>
          <w:sz w:val="20"/>
          <w:szCs w:val="20"/>
        </w:rPr>
        <w:t xml:space="preserve"> competitive</w:t>
      </w:r>
      <w:r w:rsidR="007E3D2A">
        <w:rPr>
          <w:rFonts w:ascii="Arial" w:hAnsi="Arial" w:cs="Arial"/>
          <w:sz w:val="20"/>
          <w:szCs w:val="20"/>
        </w:rPr>
        <w:t xml:space="preserve"> </w:t>
      </w:r>
      <w:r w:rsidR="00061AA6">
        <w:rPr>
          <w:rFonts w:ascii="Arial" w:hAnsi="Arial" w:cs="Arial"/>
          <w:sz w:val="20"/>
          <w:szCs w:val="20"/>
        </w:rPr>
        <w:t>~</w:t>
      </w:r>
      <w:r w:rsidR="007E3D2A">
        <w:rPr>
          <w:rFonts w:ascii="Arial" w:hAnsi="Arial" w:cs="Arial"/>
          <w:sz w:val="20"/>
          <w:szCs w:val="20"/>
        </w:rPr>
        <w:t>€500</w:t>
      </w:r>
      <w:r w:rsidR="00061AA6">
        <w:rPr>
          <w:rFonts w:ascii="Arial" w:hAnsi="Arial" w:cs="Arial"/>
          <w:sz w:val="20"/>
          <w:szCs w:val="20"/>
        </w:rPr>
        <w:t>K</w:t>
      </w:r>
      <w:r w:rsidR="007E3D2A">
        <w:rPr>
          <w:rFonts w:ascii="Arial" w:hAnsi="Arial" w:cs="Arial"/>
          <w:sz w:val="20"/>
          <w:szCs w:val="20"/>
        </w:rPr>
        <w:t xml:space="preserve"> SEED grant </w:t>
      </w:r>
      <w:r w:rsidR="00CF5510">
        <w:rPr>
          <w:rFonts w:ascii="Arial" w:hAnsi="Arial" w:cs="Arial"/>
          <w:sz w:val="20"/>
          <w:szCs w:val="20"/>
        </w:rPr>
        <w:t>from the Cyprus Research and Innovation Foundation</w:t>
      </w:r>
      <w:r w:rsidR="007E3D2A">
        <w:rPr>
          <w:rFonts w:ascii="Arial" w:hAnsi="Arial" w:cs="Arial"/>
          <w:sz w:val="20"/>
          <w:szCs w:val="20"/>
        </w:rPr>
        <w:t>.</w:t>
      </w:r>
      <w:r w:rsidR="00061AA6">
        <w:rPr>
          <w:rFonts w:ascii="Arial" w:hAnsi="Arial" w:cs="Arial"/>
          <w:sz w:val="20"/>
          <w:szCs w:val="20"/>
        </w:rPr>
        <w:t xml:space="preserve"> Finally, it has raised </w:t>
      </w:r>
      <w:r>
        <w:rPr>
          <w:rFonts w:ascii="Arial" w:hAnsi="Arial" w:cs="Arial"/>
          <w:sz w:val="20"/>
          <w:szCs w:val="20"/>
        </w:rPr>
        <w:t xml:space="preserve">a further </w:t>
      </w:r>
      <w:r w:rsidR="00061AA6">
        <w:rPr>
          <w:rFonts w:ascii="Arial" w:hAnsi="Arial" w:cs="Arial"/>
          <w:sz w:val="20"/>
          <w:szCs w:val="20"/>
        </w:rPr>
        <w:t>€2M</w:t>
      </w:r>
      <w:r>
        <w:rPr>
          <w:rFonts w:ascii="Arial" w:hAnsi="Arial" w:cs="Arial"/>
          <w:sz w:val="20"/>
          <w:szCs w:val="20"/>
        </w:rPr>
        <w:t xml:space="preserve"> SEED funding </w:t>
      </w:r>
      <w:r w:rsidR="00061AA6">
        <w:rPr>
          <w:rFonts w:ascii="Arial" w:hAnsi="Arial" w:cs="Arial"/>
          <w:sz w:val="20"/>
          <w:szCs w:val="20"/>
        </w:rPr>
        <w:t>through a private investment round in 2022.</w:t>
      </w:r>
    </w:p>
    <w:p w14:paraId="7B1376A7" w14:textId="3F9CDE65" w:rsidR="005C5687" w:rsidRDefault="005C5687" w:rsidP="00941214">
      <w:pPr>
        <w:jc w:val="both"/>
        <w:rPr>
          <w:rFonts w:ascii="Arial" w:hAnsi="Arial" w:cs="Arial"/>
          <w:sz w:val="20"/>
          <w:szCs w:val="20"/>
        </w:rPr>
      </w:pPr>
    </w:p>
    <w:p w14:paraId="242B1322" w14:textId="657D2B05" w:rsidR="004E0ABA" w:rsidRDefault="004E0ABA" w:rsidP="00941214">
      <w:pPr>
        <w:jc w:val="both"/>
        <w:rPr>
          <w:rFonts w:ascii="Arial" w:hAnsi="Arial" w:cs="Arial"/>
          <w:sz w:val="20"/>
          <w:szCs w:val="20"/>
        </w:rPr>
      </w:pPr>
    </w:p>
    <w:p w14:paraId="3068ABCB" w14:textId="70E20F3E" w:rsidR="002D78B7" w:rsidRDefault="002D78B7" w:rsidP="00941214">
      <w:pPr>
        <w:jc w:val="both"/>
        <w:rPr>
          <w:rFonts w:ascii="Arial" w:hAnsi="Arial" w:cs="Arial"/>
          <w:b/>
          <w:bCs/>
        </w:rPr>
      </w:pPr>
      <w:r w:rsidRPr="002D78B7">
        <w:rPr>
          <w:rFonts w:ascii="Arial" w:hAnsi="Arial" w:cs="Arial"/>
          <w:b/>
          <w:bCs/>
        </w:rPr>
        <w:t>Technology:</w:t>
      </w:r>
    </w:p>
    <w:p w14:paraId="2B6FC36C" w14:textId="77777777" w:rsidR="00FB3112" w:rsidRPr="002D78B7" w:rsidRDefault="00FB3112" w:rsidP="00941214">
      <w:pPr>
        <w:jc w:val="both"/>
        <w:rPr>
          <w:rFonts w:ascii="Arial" w:hAnsi="Arial" w:cs="Arial"/>
          <w:b/>
          <w:bCs/>
        </w:rPr>
      </w:pPr>
    </w:p>
    <w:p w14:paraId="756462C9" w14:textId="2D1BEA4A" w:rsidR="002D78B7" w:rsidRDefault="00D12776" w:rsidP="002D78B7">
      <w:pPr>
        <w:pStyle w:val="Footer"/>
        <w:tabs>
          <w:tab w:val="clear" w:pos="4153"/>
          <w:tab w:val="clear" w:pos="8306"/>
        </w:tabs>
        <w:spacing w:before="0" w:line="240" w:lineRule="auto"/>
        <w:jc w:val="both"/>
        <w:rPr>
          <w:rFonts w:cs="Arial"/>
          <w:color w:val="000000" w:themeColor="text1"/>
          <w:sz w:val="20"/>
          <w:szCs w:val="20"/>
          <w:lang w:val="en-GB"/>
        </w:rPr>
      </w:pPr>
      <w:r w:rsidRPr="002D78B7">
        <w:rPr>
          <w:rFonts w:cs="Arial"/>
          <w:sz w:val="20"/>
          <w:szCs w:val="20"/>
        </w:rPr>
        <w:t xml:space="preserve">In the last few </w:t>
      </w:r>
      <w:proofErr w:type="gramStart"/>
      <w:r w:rsidRPr="002D78B7">
        <w:rPr>
          <w:rFonts w:cs="Arial"/>
          <w:sz w:val="20"/>
          <w:szCs w:val="20"/>
        </w:rPr>
        <w:t>years</w:t>
      </w:r>
      <w:proofErr w:type="gramEnd"/>
      <w:r w:rsidRPr="002D78B7">
        <w:rPr>
          <w:rFonts w:cs="Arial"/>
          <w:sz w:val="20"/>
          <w:szCs w:val="20"/>
        </w:rPr>
        <w:t xml:space="preserve"> the company has been working on developing a revolutionary electronic pill which, in </w:t>
      </w:r>
      <w:proofErr w:type="gramStart"/>
      <w:r w:rsidRPr="002D78B7">
        <w:rPr>
          <w:rFonts w:cs="Arial"/>
          <w:sz w:val="20"/>
          <w:szCs w:val="20"/>
        </w:rPr>
        <w:t xml:space="preserve">combination </w:t>
      </w:r>
      <w:r>
        <w:rPr>
          <w:rFonts w:cs="Arial"/>
          <w:sz w:val="20"/>
          <w:szCs w:val="20"/>
        </w:rPr>
        <w:t>along</w:t>
      </w:r>
      <w:proofErr w:type="gramEnd"/>
      <w:r>
        <w:rPr>
          <w:rFonts w:cs="Arial"/>
          <w:sz w:val="20"/>
          <w:szCs w:val="20"/>
        </w:rPr>
        <w:t xml:space="preserve"> </w:t>
      </w:r>
      <w:r w:rsidRPr="002D78B7">
        <w:rPr>
          <w:rFonts w:cs="Arial"/>
          <w:sz w:val="20"/>
          <w:szCs w:val="20"/>
        </w:rPr>
        <w:t xml:space="preserve">with a proprietary precancer/cancer tracer will enable reliable and easy screening for polys (precancerous lesions), </w:t>
      </w:r>
      <w:r w:rsidR="00FB3112">
        <w:rPr>
          <w:rFonts w:cs="Arial"/>
          <w:sz w:val="20"/>
          <w:szCs w:val="20"/>
        </w:rPr>
        <w:t xml:space="preserve">for </w:t>
      </w:r>
      <w:r w:rsidRPr="002D78B7">
        <w:rPr>
          <w:rFonts w:cs="Arial"/>
          <w:sz w:val="20"/>
          <w:szCs w:val="20"/>
        </w:rPr>
        <w:t xml:space="preserve">both for the </w:t>
      </w:r>
      <w:r w:rsidRPr="00FB3112">
        <w:rPr>
          <w:rFonts w:cs="Arial"/>
          <w:b/>
          <w:bCs/>
          <w:sz w:val="20"/>
          <w:szCs w:val="20"/>
        </w:rPr>
        <w:t>small and the large</w:t>
      </w:r>
      <w:r w:rsidRPr="002D78B7">
        <w:rPr>
          <w:rFonts w:cs="Arial"/>
          <w:sz w:val="20"/>
          <w:szCs w:val="20"/>
        </w:rPr>
        <w:t xml:space="preserve"> intestine.</w:t>
      </w:r>
      <w:r w:rsidR="00FB3112">
        <w:rPr>
          <w:rFonts w:cs="Arial"/>
          <w:sz w:val="20"/>
          <w:szCs w:val="20"/>
        </w:rPr>
        <w:t xml:space="preserve"> </w:t>
      </w:r>
      <w:r w:rsidR="002D78B7" w:rsidRPr="002D78B7">
        <w:rPr>
          <w:rFonts w:cs="Arial"/>
          <w:color w:val="000000" w:themeColor="text1"/>
          <w:sz w:val="20"/>
          <w:szCs w:val="20"/>
          <w:lang w:val="en-GB"/>
        </w:rPr>
        <w:t xml:space="preserve">AJM has filed a </w:t>
      </w:r>
      <w:r w:rsidR="002D78B7" w:rsidRPr="002D78B7">
        <w:rPr>
          <w:rFonts w:cs="Arial"/>
          <w:b/>
          <w:color w:val="000000" w:themeColor="text1"/>
          <w:sz w:val="20"/>
          <w:szCs w:val="20"/>
          <w:lang w:val="en-GB"/>
        </w:rPr>
        <w:t>broad patent</w:t>
      </w:r>
      <w:r w:rsidR="00CF5510">
        <w:rPr>
          <w:rFonts w:cs="Arial"/>
          <w:b/>
          <w:color w:val="000000" w:themeColor="text1"/>
          <w:sz w:val="20"/>
          <w:szCs w:val="20"/>
          <w:lang w:val="en-GB"/>
        </w:rPr>
        <w:t xml:space="preserve"> </w:t>
      </w:r>
      <w:r w:rsidR="00CF5510">
        <w:rPr>
          <w:rFonts w:cs="Arial"/>
          <w:bCs/>
          <w:color w:val="000000" w:themeColor="text1"/>
          <w:sz w:val="20"/>
          <w:szCs w:val="20"/>
          <w:lang w:val="en-GB"/>
        </w:rPr>
        <w:t>in five geographical regions</w:t>
      </w:r>
      <w:r w:rsidR="002D78B7" w:rsidRPr="002D78B7">
        <w:rPr>
          <w:rFonts w:cs="Arial"/>
          <w:color w:val="000000" w:themeColor="text1"/>
          <w:sz w:val="20"/>
          <w:szCs w:val="20"/>
          <w:lang w:val="en-GB"/>
        </w:rPr>
        <w:t xml:space="preserve"> (</w:t>
      </w:r>
      <w:r w:rsidR="001A5C0A">
        <w:rPr>
          <w:rFonts w:cs="Arial"/>
          <w:color w:val="000000" w:themeColor="text1"/>
          <w:sz w:val="20"/>
          <w:szCs w:val="20"/>
          <w:lang w:val="en-GB"/>
        </w:rPr>
        <w:t>WO</w:t>
      </w:r>
      <w:r w:rsidR="00CE3680">
        <w:rPr>
          <w:rFonts w:cs="Arial"/>
          <w:color w:val="000000" w:themeColor="text1"/>
          <w:sz w:val="20"/>
          <w:szCs w:val="20"/>
          <w:lang w:val="en-GB"/>
        </w:rPr>
        <w:t>2021038464, US20220370001, AU2020338422, JP2022546432, CN114521124, EP4021283</w:t>
      </w:r>
      <w:r w:rsidR="002D78B7" w:rsidRPr="002D78B7">
        <w:rPr>
          <w:rFonts w:cs="Arial"/>
          <w:color w:val="000000" w:themeColor="text1"/>
          <w:sz w:val="20"/>
          <w:szCs w:val="20"/>
          <w:lang w:val="en-GB"/>
        </w:rPr>
        <w:t xml:space="preserve">), with thirty one claims, that </w:t>
      </w:r>
      <w:r w:rsidR="002D78B7" w:rsidRPr="002D78B7">
        <w:rPr>
          <w:rFonts w:cs="Arial"/>
          <w:b/>
          <w:color w:val="000000" w:themeColor="text1"/>
          <w:sz w:val="20"/>
          <w:szCs w:val="20"/>
          <w:lang w:val="en-GB"/>
        </w:rPr>
        <w:t>cover much more than the minimum viable product</w:t>
      </w:r>
      <w:r w:rsidR="002D78B7" w:rsidRPr="002D78B7">
        <w:rPr>
          <w:rFonts w:cs="Arial"/>
          <w:color w:val="000000" w:themeColor="text1"/>
          <w:sz w:val="20"/>
          <w:szCs w:val="20"/>
          <w:lang w:val="en-GB"/>
        </w:rPr>
        <w:t xml:space="preserve"> (MVP)</w:t>
      </w:r>
      <w:r w:rsidR="00CF5510">
        <w:rPr>
          <w:rFonts w:cs="Arial"/>
          <w:color w:val="000000" w:themeColor="text1"/>
          <w:sz w:val="20"/>
          <w:szCs w:val="20"/>
          <w:lang w:val="en-GB"/>
        </w:rPr>
        <w:t xml:space="preserve"> required for intestinal cancer screening</w:t>
      </w:r>
      <w:r w:rsidR="002D78B7" w:rsidRPr="002D78B7">
        <w:rPr>
          <w:rFonts w:cs="Arial"/>
          <w:color w:val="000000" w:themeColor="text1"/>
          <w:sz w:val="20"/>
          <w:szCs w:val="20"/>
          <w:lang w:val="en-GB"/>
        </w:rPr>
        <w:t xml:space="preserve">. The </w:t>
      </w:r>
      <w:r w:rsidR="00CF5510">
        <w:rPr>
          <w:rFonts w:cs="Arial"/>
          <w:color w:val="000000" w:themeColor="text1"/>
          <w:sz w:val="20"/>
          <w:szCs w:val="20"/>
          <w:lang w:val="en-GB"/>
        </w:rPr>
        <w:t xml:space="preserve">patent </w:t>
      </w:r>
      <w:r w:rsidR="002D78B7" w:rsidRPr="002D78B7">
        <w:rPr>
          <w:rFonts w:cs="Arial"/>
          <w:color w:val="000000" w:themeColor="text1"/>
          <w:sz w:val="20"/>
          <w:szCs w:val="20"/>
          <w:lang w:val="en-GB"/>
        </w:rPr>
        <w:t xml:space="preserve">claims cover an ingestible </w:t>
      </w:r>
      <w:r w:rsidR="00CF5510">
        <w:rPr>
          <w:rFonts w:cs="Arial"/>
          <w:color w:val="000000" w:themeColor="text1"/>
          <w:sz w:val="20"/>
          <w:szCs w:val="20"/>
          <w:lang w:val="en-GB"/>
        </w:rPr>
        <w:t xml:space="preserve">electronic fluorescence </w:t>
      </w:r>
      <w:r w:rsidR="002D78B7" w:rsidRPr="002D78B7">
        <w:rPr>
          <w:rFonts w:cs="Arial"/>
          <w:color w:val="000000" w:themeColor="text1"/>
          <w:sz w:val="20"/>
          <w:szCs w:val="20"/>
          <w:lang w:val="en-GB"/>
        </w:rPr>
        <w:t xml:space="preserve">detection device in combination with the proprietary tracer that highlights abnormalities in the GI tract, with a </w:t>
      </w:r>
      <w:r w:rsidR="002D78B7" w:rsidRPr="002D78B7">
        <w:rPr>
          <w:rFonts w:cs="Arial"/>
          <w:b/>
          <w:color w:val="000000" w:themeColor="text1"/>
          <w:sz w:val="20"/>
          <w:szCs w:val="20"/>
          <w:lang w:val="en-GB"/>
        </w:rPr>
        <w:t>multitude of technical solutions</w:t>
      </w:r>
      <w:r w:rsidR="002D78B7" w:rsidRPr="002D78B7">
        <w:rPr>
          <w:rFonts w:cs="Arial"/>
          <w:color w:val="000000" w:themeColor="text1"/>
          <w:sz w:val="20"/>
          <w:szCs w:val="20"/>
          <w:lang w:val="en-GB"/>
        </w:rPr>
        <w:t xml:space="preserve"> that make this device viable, e.g. methodology for eliminating the effect of variations in fluorescence levels due to distance from intestinal walls so as not to give false positives, features that enable long battery life etc. Furthermore, other features that are not in the MVP include taking a </w:t>
      </w:r>
      <w:r w:rsidR="002D78B7" w:rsidRPr="002D78B7">
        <w:rPr>
          <w:rFonts w:cs="Arial"/>
          <w:b/>
          <w:color w:val="000000" w:themeColor="text1"/>
          <w:sz w:val="20"/>
          <w:szCs w:val="20"/>
          <w:lang w:val="en-GB"/>
        </w:rPr>
        <w:t>high quality images of locations with high tracer levels</w:t>
      </w:r>
      <w:r w:rsidR="002D78B7" w:rsidRPr="002D78B7">
        <w:rPr>
          <w:rFonts w:cs="Arial"/>
          <w:color w:val="000000" w:themeColor="text1"/>
          <w:sz w:val="20"/>
          <w:szCs w:val="20"/>
          <w:lang w:val="en-GB"/>
        </w:rPr>
        <w:t xml:space="preserve"> and also </w:t>
      </w:r>
      <w:r w:rsidR="002D78B7" w:rsidRPr="002D78B7">
        <w:rPr>
          <w:rFonts w:cs="Arial"/>
          <w:b/>
          <w:color w:val="000000" w:themeColor="text1"/>
          <w:sz w:val="20"/>
          <w:szCs w:val="20"/>
          <w:lang w:val="en-GB"/>
        </w:rPr>
        <w:t>targeted release or activation of drugs</w:t>
      </w:r>
      <w:r w:rsidR="002D78B7" w:rsidRPr="002D78B7">
        <w:rPr>
          <w:rFonts w:cs="Arial"/>
          <w:color w:val="000000" w:themeColor="text1"/>
          <w:sz w:val="20"/>
          <w:szCs w:val="20"/>
          <w:lang w:val="en-GB"/>
        </w:rPr>
        <w:t xml:space="preserve"> at the location of the detected anomaly for </w:t>
      </w:r>
      <w:r w:rsidR="002D78B7" w:rsidRPr="002D78B7">
        <w:rPr>
          <w:rFonts w:cs="Arial"/>
          <w:b/>
          <w:color w:val="000000" w:themeColor="text1"/>
          <w:sz w:val="20"/>
          <w:szCs w:val="20"/>
          <w:lang w:val="en-GB"/>
        </w:rPr>
        <w:t>therapy</w:t>
      </w:r>
      <w:r w:rsidR="002D78B7" w:rsidRPr="002D78B7">
        <w:rPr>
          <w:rFonts w:cs="Arial"/>
          <w:color w:val="000000" w:themeColor="text1"/>
          <w:sz w:val="20"/>
          <w:szCs w:val="20"/>
          <w:lang w:val="en-GB"/>
        </w:rPr>
        <w:t xml:space="preserve">. It also includes </w:t>
      </w:r>
      <w:r w:rsidR="002D78B7" w:rsidRPr="002D78B7">
        <w:rPr>
          <w:rFonts w:cs="Arial"/>
          <w:b/>
          <w:color w:val="000000" w:themeColor="text1"/>
          <w:sz w:val="20"/>
          <w:szCs w:val="20"/>
          <w:lang w:val="en-GB"/>
        </w:rPr>
        <w:t>methods other than fluorescence</w:t>
      </w:r>
      <w:r w:rsidR="002D78B7" w:rsidRPr="002D78B7">
        <w:rPr>
          <w:rFonts w:cs="Arial"/>
          <w:color w:val="000000" w:themeColor="text1"/>
          <w:sz w:val="20"/>
          <w:szCs w:val="20"/>
          <w:lang w:val="en-GB"/>
        </w:rPr>
        <w:t xml:space="preserve"> for detection, e.g. magnetic anomalies created by magnetic nanoparticles etc., so as to limit competitors freedom to operate by finding other tracer modalities.</w:t>
      </w:r>
      <w:r w:rsidR="00CE3680">
        <w:rPr>
          <w:rFonts w:cs="Arial"/>
          <w:color w:val="000000" w:themeColor="text1"/>
          <w:sz w:val="20"/>
          <w:szCs w:val="20"/>
          <w:lang w:val="en-GB"/>
        </w:rPr>
        <w:t xml:space="preserve"> The pending patent is currently in the national phase and covers the USA, the European Union, China, Japan and Australia. </w:t>
      </w:r>
      <w:r w:rsidR="002D78B7" w:rsidRPr="002D78B7">
        <w:rPr>
          <w:rFonts w:cs="Arial"/>
          <w:color w:val="000000" w:themeColor="text1"/>
          <w:sz w:val="20"/>
          <w:szCs w:val="20"/>
          <w:lang w:val="en-GB"/>
        </w:rPr>
        <w:t xml:space="preserve">The company </w:t>
      </w:r>
      <w:r w:rsidR="002D78B7" w:rsidRPr="002D78B7">
        <w:rPr>
          <w:rFonts w:cs="Arial"/>
          <w:b/>
          <w:color w:val="000000" w:themeColor="text1"/>
          <w:sz w:val="20"/>
          <w:szCs w:val="20"/>
          <w:lang w:val="en-GB"/>
        </w:rPr>
        <w:t>also rel</w:t>
      </w:r>
      <w:r w:rsidR="00CE3680">
        <w:rPr>
          <w:rFonts w:cs="Arial"/>
          <w:b/>
          <w:color w:val="000000" w:themeColor="text1"/>
          <w:sz w:val="20"/>
          <w:szCs w:val="20"/>
          <w:lang w:val="en-GB"/>
        </w:rPr>
        <w:t>ies</w:t>
      </w:r>
      <w:r w:rsidR="002D78B7" w:rsidRPr="002D78B7">
        <w:rPr>
          <w:rFonts w:cs="Arial"/>
          <w:b/>
          <w:color w:val="000000" w:themeColor="text1"/>
          <w:sz w:val="20"/>
          <w:szCs w:val="20"/>
          <w:lang w:val="en-GB"/>
        </w:rPr>
        <w:t xml:space="preserve"> on trade secrets</w:t>
      </w:r>
      <w:r w:rsidR="002D78B7" w:rsidRPr="002D78B7">
        <w:rPr>
          <w:rFonts w:cs="Arial"/>
          <w:color w:val="000000" w:themeColor="text1"/>
          <w:sz w:val="20"/>
          <w:szCs w:val="20"/>
          <w:lang w:val="en-GB"/>
        </w:rPr>
        <w:t xml:space="preserve"> with aspects of the product that are </w:t>
      </w:r>
      <w:r w:rsidR="002D78B7" w:rsidRPr="002D78B7">
        <w:rPr>
          <w:rFonts w:cs="Arial"/>
          <w:b/>
          <w:color w:val="000000" w:themeColor="text1"/>
          <w:sz w:val="20"/>
          <w:szCs w:val="20"/>
          <w:lang w:val="en-GB"/>
        </w:rPr>
        <w:t>difficult to reverse engineer</w:t>
      </w:r>
      <w:r w:rsidR="002D78B7" w:rsidRPr="002D78B7">
        <w:rPr>
          <w:rFonts w:cs="Arial"/>
          <w:color w:val="000000" w:themeColor="text1"/>
          <w:sz w:val="20"/>
          <w:szCs w:val="20"/>
          <w:lang w:val="en-GB"/>
        </w:rPr>
        <w:t xml:space="preserve">. Given that the product will be made from custom Application Specific Integrated Circuits (ASICs), customised optical components, customised chemical tracers and custom software, it will be difficult for a competitor to copy it, without </w:t>
      </w:r>
      <w:r w:rsidR="002D78B7" w:rsidRPr="002D78B7">
        <w:rPr>
          <w:rFonts w:cs="Arial"/>
          <w:color w:val="000000" w:themeColor="text1"/>
          <w:sz w:val="20"/>
          <w:szCs w:val="20"/>
          <w:lang w:val="en-GB"/>
        </w:rPr>
        <w:lastRenderedPageBreak/>
        <w:t>having to assemble an extremely specialised high-tech team, and even then they are likely to run into patent infringement issues.</w:t>
      </w:r>
    </w:p>
    <w:p w14:paraId="5C532579" w14:textId="7CD179AE" w:rsidR="00FB3112" w:rsidRPr="00AD27A4" w:rsidRDefault="00FB3112" w:rsidP="002D78B7">
      <w:pPr>
        <w:pStyle w:val="Footer"/>
        <w:tabs>
          <w:tab w:val="clear" w:pos="4153"/>
          <w:tab w:val="clear" w:pos="8306"/>
        </w:tabs>
        <w:spacing w:before="0" w:line="240" w:lineRule="auto"/>
        <w:jc w:val="both"/>
        <w:rPr>
          <w:rFonts w:cs="Arial"/>
          <w:color w:val="000000" w:themeColor="text1"/>
          <w:sz w:val="20"/>
          <w:szCs w:val="20"/>
        </w:rPr>
      </w:pPr>
    </w:p>
    <w:p w14:paraId="0B36098A" w14:textId="2D764A9A" w:rsidR="00FB3112" w:rsidRPr="00AD27A4" w:rsidRDefault="00FB3112" w:rsidP="002D78B7">
      <w:pPr>
        <w:pStyle w:val="Footer"/>
        <w:tabs>
          <w:tab w:val="clear" w:pos="4153"/>
          <w:tab w:val="clear" w:pos="8306"/>
        </w:tabs>
        <w:spacing w:before="0" w:line="240" w:lineRule="auto"/>
        <w:jc w:val="both"/>
        <w:rPr>
          <w:rFonts w:cs="Arial"/>
          <w:color w:val="000000" w:themeColor="text1"/>
          <w:sz w:val="20"/>
          <w:szCs w:val="20"/>
          <w:lang w:val="en-GB"/>
        </w:rPr>
      </w:pPr>
      <w:r>
        <w:rPr>
          <w:rFonts w:cs="Arial"/>
          <w:color w:val="000000" w:themeColor="text1"/>
          <w:sz w:val="20"/>
          <w:szCs w:val="20"/>
          <w:lang w:val="en-GB"/>
        </w:rPr>
        <w:t xml:space="preserve">To date the company has proven that the tracer accumulates in polyps in both </w:t>
      </w:r>
      <w:r w:rsidR="00617E63">
        <w:rPr>
          <w:rFonts w:cs="Arial"/>
          <w:color w:val="000000" w:themeColor="text1"/>
          <w:sz w:val="20"/>
          <w:szCs w:val="20"/>
          <w:lang w:val="en-GB"/>
        </w:rPr>
        <w:t xml:space="preserve">genetically altered </w:t>
      </w:r>
      <w:r>
        <w:rPr>
          <w:rFonts w:cs="Arial"/>
          <w:color w:val="000000" w:themeColor="text1"/>
          <w:sz w:val="20"/>
          <w:szCs w:val="20"/>
          <w:lang w:val="en-GB"/>
        </w:rPr>
        <w:t xml:space="preserve">mice and </w:t>
      </w:r>
      <w:r w:rsidR="00617E63">
        <w:rPr>
          <w:rFonts w:cs="Arial"/>
          <w:color w:val="000000" w:themeColor="text1"/>
          <w:sz w:val="20"/>
          <w:szCs w:val="20"/>
          <w:lang w:val="en-GB"/>
        </w:rPr>
        <w:t xml:space="preserve">genetically altered </w:t>
      </w:r>
      <w:r>
        <w:rPr>
          <w:rFonts w:cs="Arial"/>
          <w:color w:val="000000" w:themeColor="text1"/>
          <w:sz w:val="20"/>
          <w:szCs w:val="20"/>
          <w:lang w:val="en-GB"/>
        </w:rPr>
        <w:t xml:space="preserve">swine </w:t>
      </w:r>
      <w:r w:rsidR="00E85E0A">
        <w:rPr>
          <w:rFonts w:cs="Arial"/>
          <w:color w:val="000000" w:themeColor="text1"/>
          <w:sz w:val="20"/>
          <w:szCs w:val="20"/>
          <w:lang w:val="en-GB"/>
        </w:rPr>
        <w:t xml:space="preserve">disease </w:t>
      </w:r>
      <w:r>
        <w:rPr>
          <w:rFonts w:cs="Arial"/>
          <w:color w:val="000000" w:themeColor="text1"/>
          <w:sz w:val="20"/>
          <w:szCs w:val="20"/>
          <w:lang w:val="en-GB"/>
        </w:rPr>
        <w:t>models</w:t>
      </w:r>
      <w:r w:rsidR="00E85E0A">
        <w:rPr>
          <w:rFonts w:cs="Arial"/>
          <w:color w:val="000000" w:themeColor="text1"/>
          <w:sz w:val="20"/>
          <w:szCs w:val="20"/>
          <w:lang w:val="en-GB"/>
        </w:rPr>
        <w:t>.</w:t>
      </w:r>
      <w:r>
        <w:rPr>
          <w:rFonts w:cs="Arial"/>
          <w:color w:val="000000" w:themeColor="text1"/>
          <w:sz w:val="20"/>
          <w:szCs w:val="20"/>
          <w:lang w:val="en-GB"/>
        </w:rPr>
        <w:t xml:space="preserve"> </w:t>
      </w:r>
    </w:p>
    <w:p w14:paraId="399FC3D6" w14:textId="4128C3EE" w:rsidR="00AD27A4" w:rsidRPr="00AD27A4" w:rsidRDefault="00AD27A4" w:rsidP="002D78B7">
      <w:pPr>
        <w:pStyle w:val="Footer"/>
        <w:tabs>
          <w:tab w:val="clear" w:pos="4153"/>
          <w:tab w:val="clear" w:pos="8306"/>
        </w:tabs>
        <w:spacing w:before="0" w:line="240" w:lineRule="auto"/>
        <w:jc w:val="both"/>
        <w:rPr>
          <w:rFonts w:cs="Arial"/>
          <w:color w:val="000000" w:themeColor="text1"/>
          <w:sz w:val="20"/>
          <w:szCs w:val="20"/>
          <w:lang w:val="en-GB"/>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AD27A4" w14:paraId="37356059" w14:textId="77777777" w:rsidTr="00AD27A4">
        <w:tc>
          <w:tcPr>
            <w:tcW w:w="3005" w:type="dxa"/>
          </w:tcPr>
          <w:p w14:paraId="2AB695D2" w14:textId="77777777" w:rsidR="00AD27A4" w:rsidRDefault="00AD27A4" w:rsidP="00AD27A4">
            <w:pPr>
              <w:jc w:val="center"/>
              <w:rPr>
                <w:noProof/>
              </w:rPr>
            </w:pPr>
            <w:r w:rsidRPr="00F3088D">
              <w:rPr>
                <w:rFonts w:ascii="Arial" w:hAnsi="Arial" w:cs="Arial"/>
                <w:noProof/>
                <w:lang w:val="en-GB"/>
              </w:rPr>
              <w:drawing>
                <wp:inline distT="0" distB="0" distL="0" distR="0" wp14:anchorId="1A86C7FE" wp14:editId="3FB31126">
                  <wp:extent cx="1749650" cy="1286933"/>
                  <wp:effectExtent l="0" t="0" r="3175" b="0"/>
                  <wp:docPr id="2" name="Picture 2" descr="A m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oon in the sky&#10;&#10;Description automatically generated"/>
                          <pic:cNvPicPr/>
                        </pic:nvPicPr>
                        <pic:blipFill>
                          <a:blip r:embed="rId9"/>
                          <a:stretch>
                            <a:fillRect/>
                          </a:stretch>
                        </pic:blipFill>
                        <pic:spPr>
                          <a:xfrm>
                            <a:off x="0" y="0"/>
                            <a:ext cx="1789585" cy="1316307"/>
                          </a:xfrm>
                          <a:prstGeom prst="rect">
                            <a:avLst/>
                          </a:prstGeom>
                        </pic:spPr>
                      </pic:pic>
                    </a:graphicData>
                  </a:graphic>
                </wp:inline>
              </w:drawing>
            </w:r>
          </w:p>
        </w:tc>
        <w:tc>
          <w:tcPr>
            <w:tcW w:w="3005" w:type="dxa"/>
          </w:tcPr>
          <w:p w14:paraId="399E5289" w14:textId="77777777" w:rsidR="00AD27A4" w:rsidRDefault="00AD27A4" w:rsidP="00AD27A4">
            <w:pPr>
              <w:jc w:val="center"/>
              <w:rPr>
                <w:noProof/>
              </w:rPr>
            </w:pPr>
            <w:r w:rsidRPr="00F3088D">
              <w:rPr>
                <w:rFonts w:ascii="Arial" w:hAnsi="Arial" w:cs="Arial"/>
                <w:noProof/>
                <w:lang w:val="en-GB"/>
              </w:rPr>
              <w:drawing>
                <wp:inline distT="0" distB="0" distL="0" distR="0" wp14:anchorId="53A5A948" wp14:editId="155C1E21">
                  <wp:extent cx="1738403" cy="1270000"/>
                  <wp:effectExtent l="0" t="0" r="1905" b="0"/>
                  <wp:docPr id="1" name="Picture 1" descr="A blue and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green circle&#10;&#10;Description automatically generated"/>
                          <pic:cNvPicPr/>
                        </pic:nvPicPr>
                        <pic:blipFill>
                          <a:blip r:embed="rId10"/>
                          <a:stretch>
                            <a:fillRect/>
                          </a:stretch>
                        </pic:blipFill>
                        <pic:spPr>
                          <a:xfrm>
                            <a:off x="0" y="0"/>
                            <a:ext cx="1802950" cy="1317155"/>
                          </a:xfrm>
                          <a:prstGeom prst="rect">
                            <a:avLst/>
                          </a:prstGeom>
                        </pic:spPr>
                      </pic:pic>
                    </a:graphicData>
                  </a:graphic>
                </wp:inline>
              </w:drawing>
            </w:r>
          </w:p>
        </w:tc>
        <w:tc>
          <w:tcPr>
            <w:tcW w:w="3006" w:type="dxa"/>
          </w:tcPr>
          <w:p w14:paraId="09D122EC" w14:textId="77777777" w:rsidR="00AD27A4" w:rsidRDefault="00AD27A4" w:rsidP="00AD27A4">
            <w:pPr>
              <w:jc w:val="center"/>
              <w:rPr>
                <w:noProof/>
              </w:rPr>
            </w:pPr>
            <w:r w:rsidRPr="00F3088D">
              <w:rPr>
                <w:rFonts w:ascii="Arial" w:hAnsi="Arial" w:cs="Arial"/>
                <w:noProof/>
                <w:lang w:val="en-GB"/>
              </w:rPr>
              <w:drawing>
                <wp:inline distT="0" distB="0" distL="0" distR="0" wp14:anchorId="09FC8BD8" wp14:editId="388D8542">
                  <wp:extent cx="1737074" cy="1278054"/>
                  <wp:effectExtent l="0" t="0" r="3175" b="5080"/>
                  <wp:docPr id="3" name="Picture 3" descr="A m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oon in the sky&#10;&#10;Description automatically generated"/>
                          <pic:cNvPicPr/>
                        </pic:nvPicPr>
                        <pic:blipFill>
                          <a:blip r:embed="rId11"/>
                          <a:stretch>
                            <a:fillRect/>
                          </a:stretch>
                        </pic:blipFill>
                        <pic:spPr>
                          <a:xfrm>
                            <a:off x="0" y="0"/>
                            <a:ext cx="1774274" cy="1305424"/>
                          </a:xfrm>
                          <a:prstGeom prst="rect">
                            <a:avLst/>
                          </a:prstGeom>
                        </pic:spPr>
                      </pic:pic>
                    </a:graphicData>
                  </a:graphic>
                </wp:inline>
              </w:drawing>
            </w:r>
          </w:p>
        </w:tc>
      </w:tr>
      <w:tr w:rsidR="00AD27A4" w:rsidRPr="00AD27A4" w14:paraId="01B99349" w14:textId="77777777" w:rsidTr="00AD27A4">
        <w:tc>
          <w:tcPr>
            <w:tcW w:w="3005" w:type="dxa"/>
          </w:tcPr>
          <w:p w14:paraId="15BDFB0B" w14:textId="77777777" w:rsidR="00AD27A4" w:rsidRPr="00AD27A4" w:rsidRDefault="00AD27A4" w:rsidP="00B1148A">
            <w:pPr>
              <w:ind w:left="177" w:hanging="177"/>
              <w:jc w:val="center"/>
              <w:rPr>
                <w:rFonts w:ascii="Arial" w:hAnsi="Arial" w:cs="Arial"/>
                <w:i/>
                <w:iCs/>
                <w:noProof/>
                <w:color w:val="595959" w:themeColor="text1" w:themeTint="A6"/>
                <w:sz w:val="18"/>
                <w:szCs w:val="18"/>
              </w:rPr>
            </w:pPr>
            <w:r w:rsidRPr="00AD27A4">
              <w:rPr>
                <w:rFonts w:ascii="Arial" w:hAnsi="Arial" w:cs="Arial"/>
                <w:i/>
                <w:iCs/>
                <w:noProof/>
                <w:color w:val="595959" w:themeColor="text1" w:themeTint="A6"/>
                <w:sz w:val="18"/>
                <w:szCs w:val="18"/>
              </w:rPr>
              <w:t>a) Image of two polyps in the foreground</w:t>
            </w:r>
          </w:p>
        </w:tc>
        <w:tc>
          <w:tcPr>
            <w:tcW w:w="3005" w:type="dxa"/>
          </w:tcPr>
          <w:p w14:paraId="34549E21" w14:textId="77777777" w:rsidR="00AD27A4" w:rsidRPr="00AD27A4" w:rsidRDefault="00AD27A4" w:rsidP="00B1148A">
            <w:pPr>
              <w:ind w:left="283" w:hanging="283"/>
              <w:jc w:val="center"/>
              <w:rPr>
                <w:rFonts w:ascii="Arial" w:hAnsi="Arial" w:cs="Arial"/>
                <w:i/>
                <w:iCs/>
                <w:noProof/>
                <w:color w:val="595959" w:themeColor="text1" w:themeTint="A6"/>
                <w:sz w:val="18"/>
                <w:szCs w:val="18"/>
              </w:rPr>
            </w:pPr>
            <w:r w:rsidRPr="00AD27A4">
              <w:rPr>
                <w:rFonts w:ascii="Arial" w:hAnsi="Arial" w:cs="Arial"/>
                <w:i/>
                <w:iCs/>
                <w:noProof/>
                <w:color w:val="595959" w:themeColor="text1" w:themeTint="A6"/>
                <w:sz w:val="18"/>
                <w:szCs w:val="18"/>
              </w:rPr>
              <w:t>b) Tracer concentrations accumulated in polyps</w:t>
            </w:r>
          </w:p>
        </w:tc>
        <w:tc>
          <w:tcPr>
            <w:tcW w:w="3006" w:type="dxa"/>
          </w:tcPr>
          <w:p w14:paraId="2D431641" w14:textId="77777777" w:rsidR="00AD27A4" w:rsidRPr="00AD27A4" w:rsidRDefault="00AD27A4" w:rsidP="00B1148A">
            <w:pPr>
              <w:ind w:left="260" w:hanging="260"/>
              <w:jc w:val="center"/>
              <w:rPr>
                <w:rFonts w:ascii="Arial" w:hAnsi="Arial" w:cs="Arial"/>
                <w:i/>
                <w:iCs/>
                <w:noProof/>
                <w:color w:val="595959" w:themeColor="text1" w:themeTint="A6"/>
                <w:sz w:val="18"/>
                <w:szCs w:val="18"/>
              </w:rPr>
            </w:pPr>
            <w:r w:rsidRPr="00AD27A4">
              <w:rPr>
                <w:rFonts w:ascii="Arial" w:hAnsi="Arial" w:cs="Arial"/>
                <w:i/>
                <w:iCs/>
                <w:noProof/>
                <w:color w:val="595959" w:themeColor="text1" w:themeTint="A6"/>
                <w:sz w:val="18"/>
                <w:szCs w:val="18"/>
              </w:rPr>
              <w:t>c) Overlay of tracer concentration in polyps</w:t>
            </w:r>
          </w:p>
        </w:tc>
      </w:tr>
      <w:tr w:rsidR="00AD27A4" w:rsidRPr="006369BE" w14:paraId="7B738A1F" w14:textId="77777777" w:rsidTr="00AD27A4">
        <w:tc>
          <w:tcPr>
            <w:tcW w:w="9016" w:type="dxa"/>
            <w:gridSpan w:val="3"/>
          </w:tcPr>
          <w:p w14:paraId="4753F890" w14:textId="77777777" w:rsidR="00AD27A4" w:rsidRPr="006369BE" w:rsidRDefault="00AD27A4" w:rsidP="00AD27A4">
            <w:pPr>
              <w:pStyle w:val="Caption"/>
              <w:spacing w:before="120" w:after="120"/>
              <w:jc w:val="center"/>
              <w:rPr>
                <w:sz w:val="16"/>
                <w:szCs w:val="16"/>
              </w:rPr>
            </w:pPr>
            <w:r w:rsidRPr="00AD27A4">
              <w:t xml:space="preserve">Figure </w:t>
            </w:r>
            <w:r>
              <w:t>4</w:t>
            </w:r>
            <w:r w:rsidRPr="00AD27A4">
              <w:t xml:space="preserve">- Genetically-modified swine polyp models demonstrate the tracer accumulation </w:t>
            </w:r>
          </w:p>
        </w:tc>
      </w:tr>
    </w:tbl>
    <w:p w14:paraId="53F15D79" w14:textId="6D9BC6E4" w:rsidR="00AD27A4" w:rsidRPr="00AD27A4" w:rsidRDefault="00AD27A4" w:rsidP="002D78B7">
      <w:pPr>
        <w:pStyle w:val="Footer"/>
        <w:tabs>
          <w:tab w:val="clear" w:pos="4153"/>
          <w:tab w:val="clear" w:pos="8306"/>
        </w:tabs>
        <w:spacing w:before="0" w:line="240" w:lineRule="auto"/>
        <w:jc w:val="both"/>
        <w:rPr>
          <w:rFonts w:cs="Arial"/>
          <w:color w:val="000000" w:themeColor="text1"/>
          <w:sz w:val="20"/>
          <w:szCs w:val="20"/>
          <w:lang w:val="en-GB"/>
        </w:rPr>
      </w:pPr>
    </w:p>
    <w:p w14:paraId="0C2A142A" w14:textId="26F25C47" w:rsidR="00AD27A4" w:rsidRPr="00AD27A4" w:rsidRDefault="00B1148A" w:rsidP="002D78B7">
      <w:pPr>
        <w:pStyle w:val="Footer"/>
        <w:tabs>
          <w:tab w:val="clear" w:pos="4153"/>
          <w:tab w:val="clear" w:pos="8306"/>
        </w:tabs>
        <w:spacing w:before="0" w:line="240" w:lineRule="auto"/>
        <w:jc w:val="both"/>
        <w:rPr>
          <w:rFonts w:cs="Arial"/>
          <w:color w:val="000000" w:themeColor="text1"/>
          <w:sz w:val="20"/>
          <w:szCs w:val="20"/>
          <w:lang w:val="en-GB"/>
        </w:rPr>
      </w:pPr>
      <w:r>
        <w:rPr>
          <w:rFonts w:cs="Arial"/>
          <w:color w:val="000000" w:themeColor="text1"/>
          <w:sz w:val="20"/>
          <w:szCs w:val="20"/>
          <w:lang w:val="en-GB"/>
        </w:rPr>
        <w:t xml:space="preserve">Furthermore the company has proven that the capsule fluorometer subsystems have the necessary sensitivity to detect the tracer accumulating in the polyps </w:t>
      </w:r>
      <w:r w:rsidRPr="00AD27A4">
        <w:rPr>
          <w:rFonts w:cs="Arial"/>
          <w:color w:val="000000" w:themeColor="text1"/>
          <w:sz w:val="20"/>
          <w:szCs w:val="20"/>
          <w:lang w:val="en-GB"/>
        </w:rPr>
        <w:t>and lesions. A route to low-cost, mass-production of the capsule has been established</w:t>
      </w:r>
      <w:r w:rsidR="00794C9F">
        <w:rPr>
          <w:rFonts w:cs="Arial"/>
          <w:color w:val="000000" w:themeColor="text1"/>
          <w:sz w:val="20"/>
          <w:szCs w:val="20"/>
          <w:lang w:val="en-GB"/>
        </w:rPr>
        <w:t xml:space="preserve"> enabled by integrating the electronic and optical components on the same chip</w:t>
      </w:r>
      <w:r w:rsidRPr="00AD27A4">
        <w:rPr>
          <w:rFonts w:cs="Arial"/>
          <w:color w:val="000000" w:themeColor="text1"/>
          <w:sz w:val="20"/>
          <w:szCs w:val="20"/>
          <w:lang w:val="en-GB"/>
        </w:rPr>
        <w:t>.</w:t>
      </w:r>
      <w:r w:rsidR="00794C9F">
        <w:rPr>
          <w:rFonts w:cs="Arial"/>
          <w:color w:val="000000" w:themeColor="text1"/>
          <w:sz w:val="20"/>
          <w:szCs w:val="20"/>
          <w:lang w:val="en-GB"/>
        </w:rPr>
        <w:t xml:space="preserve"> This not only improves reliability but also reduces capsule assembly costs given fewer components are handled.</w:t>
      </w:r>
    </w:p>
    <w:p w14:paraId="6D649F13" w14:textId="4BF8DA57" w:rsidR="00AD27A4" w:rsidRPr="00AD27A4" w:rsidRDefault="00AD27A4">
      <w:pPr>
        <w:rPr>
          <w:rFonts w:ascii="Arial" w:hAnsi="Arial" w:cs="Arial"/>
          <w:sz w:val="20"/>
          <w:szCs w:val="20"/>
        </w:rPr>
      </w:pPr>
    </w:p>
    <w:bookmarkEnd w:id="0"/>
    <w:p w14:paraId="55D090FB" w14:textId="77777777" w:rsidR="0047509A" w:rsidRPr="002D78B7" w:rsidRDefault="0047509A" w:rsidP="002D78B7">
      <w:pPr>
        <w:jc w:val="both"/>
        <w:rPr>
          <w:rFonts w:ascii="Arial" w:hAnsi="Arial" w:cs="Arial"/>
        </w:rPr>
      </w:pPr>
    </w:p>
    <w:p w14:paraId="18B18674" w14:textId="7A087DCB" w:rsidR="0047509A" w:rsidRPr="002D78B7" w:rsidRDefault="0047509A" w:rsidP="00941214">
      <w:pPr>
        <w:jc w:val="both"/>
        <w:rPr>
          <w:rFonts w:ascii="Arial" w:hAnsi="Arial" w:cs="Arial"/>
          <w:b/>
          <w:bCs/>
          <w:sz w:val="28"/>
          <w:szCs w:val="28"/>
        </w:rPr>
      </w:pPr>
      <w:bookmarkStart w:id="6" w:name="_Hlk159475848"/>
      <w:r w:rsidRPr="002D78B7">
        <w:rPr>
          <w:rFonts w:ascii="Arial" w:hAnsi="Arial" w:cs="Arial"/>
          <w:b/>
          <w:bCs/>
          <w:sz w:val="28"/>
          <w:szCs w:val="28"/>
        </w:rPr>
        <w:t>Addressable Market</w:t>
      </w:r>
    </w:p>
    <w:p w14:paraId="34A74A02" w14:textId="10CEF22A" w:rsidR="0047509A" w:rsidRPr="002D78B7" w:rsidRDefault="0047509A" w:rsidP="00941214">
      <w:pPr>
        <w:jc w:val="both"/>
        <w:rPr>
          <w:rFonts w:ascii="Arial" w:hAnsi="Arial" w:cs="Arial"/>
        </w:rPr>
      </w:pPr>
    </w:p>
    <w:p w14:paraId="74C16D53" w14:textId="40B7C48B" w:rsidR="00E47C06" w:rsidRPr="00E47C06" w:rsidRDefault="00E47C06" w:rsidP="00E47C06">
      <w:pPr>
        <w:jc w:val="both"/>
        <w:rPr>
          <w:rFonts w:ascii="Arial" w:eastAsia="Times New Roman" w:hAnsi="Arial" w:cs="Arial"/>
          <w:color w:val="000000" w:themeColor="text1"/>
          <w:sz w:val="20"/>
          <w:szCs w:val="20"/>
          <w:lang w:val="en-GB"/>
        </w:rPr>
      </w:pPr>
      <w:r w:rsidRPr="00EB6BBE">
        <w:rPr>
          <w:rFonts w:eastAsia="Arial Narrow" w:cs="Arial"/>
          <w:noProof/>
          <w:sz w:val="20"/>
          <w:szCs w:val="20"/>
        </w:rPr>
        <mc:AlternateContent>
          <mc:Choice Requires="wps">
            <w:drawing>
              <wp:anchor distT="0" distB="0" distL="114300" distR="114300" simplePos="0" relativeHeight="251665408" behindDoc="1" locked="0" layoutInCell="1" allowOverlap="1" wp14:anchorId="07A50EBF" wp14:editId="62337573">
                <wp:simplePos x="0" y="0"/>
                <wp:positionH relativeFrom="column">
                  <wp:posOffset>-31750</wp:posOffset>
                </wp:positionH>
                <wp:positionV relativeFrom="paragraph">
                  <wp:posOffset>116205</wp:posOffset>
                </wp:positionV>
                <wp:extent cx="3883025" cy="2459355"/>
                <wp:effectExtent l="0" t="0" r="3175" b="4445"/>
                <wp:wrapTight wrapText="bothSides">
                  <wp:wrapPolygon edited="0">
                    <wp:start x="0" y="0"/>
                    <wp:lineTo x="0" y="21527"/>
                    <wp:lineTo x="21547" y="21527"/>
                    <wp:lineTo x="21547"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883025" cy="2459355"/>
                        </a:xfrm>
                        <a:prstGeom prst="rect">
                          <a:avLst/>
                        </a:prstGeom>
                        <a:solidFill>
                          <a:schemeClr val="lt1"/>
                        </a:solidFill>
                        <a:ln w="6350">
                          <a:noFill/>
                        </a:ln>
                      </wps:spPr>
                      <wps:txbx>
                        <w:txbxContent>
                          <w:p w14:paraId="4E9FE284" w14:textId="77777777" w:rsidR="00E47C06" w:rsidRDefault="00E47C06" w:rsidP="00E47C06">
                            <w:pPr>
                              <w:ind w:left="-142"/>
                              <w:jc w:val="center"/>
                            </w:pPr>
                            <w:r>
                              <w:rPr>
                                <w:rFonts w:eastAsia="Arial Narrow" w:cs="Arial"/>
                                <w:noProof/>
                                <w:sz w:val="21"/>
                                <w:szCs w:val="21"/>
                              </w:rPr>
                              <w:drawing>
                                <wp:inline distT="0" distB="0" distL="0" distR="0" wp14:anchorId="328C3B54" wp14:editId="48CCD2D7">
                                  <wp:extent cx="3676562" cy="20371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10-08 at 6.15.11 PM.png"/>
                                          <pic:cNvPicPr/>
                                        </pic:nvPicPr>
                                        <pic:blipFill>
                                          <a:blip r:embed="rId12">
                                            <a:extLst>
                                              <a:ext uri="{28A0092B-C50C-407E-A947-70E740481C1C}">
                                                <a14:useLocalDpi xmlns:a14="http://schemas.microsoft.com/office/drawing/2010/main" val="0"/>
                                              </a:ext>
                                            </a:extLst>
                                          </a:blip>
                                          <a:stretch>
                                            <a:fillRect/>
                                          </a:stretch>
                                        </pic:blipFill>
                                        <pic:spPr>
                                          <a:xfrm>
                                            <a:off x="0" y="0"/>
                                            <a:ext cx="3710491" cy="2055944"/>
                                          </a:xfrm>
                                          <a:prstGeom prst="rect">
                                            <a:avLst/>
                                          </a:prstGeom>
                                        </pic:spPr>
                                      </pic:pic>
                                    </a:graphicData>
                                  </a:graphic>
                                </wp:inline>
                              </w:drawing>
                            </w:r>
                          </w:p>
                          <w:p w14:paraId="66C1C348" w14:textId="620CD31A" w:rsidR="00E47C06" w:rsidRPr="00214FD0" w:rsidRDefault="00E47C06" w:rsidP="00E47C06">
                            <w:pPr>
                              <w:pStyle w:val="Caption"/>
                              <w:jc w:val="center"/>
                              <w:rPr>
                                <w:rFonts w:eastAsia="Arial Narrow" w:cs="Arial"/>
                                <w:noProof/>
                                <w:sz w:val="21"/>
                                <w:szCs w:val="21"/>
                              </w:rPr>
                            </w:pPr>
                            <w:bookmarkStart w:id="7" w:name="_Ref21451800"/>
                            <w:r>
                              <w:t xml:space="preserve">Figure </w:t>
                            </w:r>
                            <w:bookmarkEnd w:id="7"/>
                            <w:r w:rsidR="00AD27A4">
                              <w:t>6</w:t>
                            </w:r>
                            <w:r>
                              <w:t>- Global view of Opportunistic vs Organized CRC 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0EBF" id="Text Box 37" o:spid="_x0000_s1028" type="#_x0000_t202" style="position:absolute;left:0;text-align:left;margin-left:-2.5pt;margin-top:9.15pt;width:305.75pt;height:19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" fillcolor="white [3201]" stroked="f" strokeweight=".5pt">
                <v:textbox>
                  <w:txbxContent>
                    <w:p w14:paraId="4E9FE284" w14:textId="77777777" w:rsidR="00E47C06" w:rsidRDefault="00E47C06" w:rsidP="00E47C06">
                      <w:pPr>
                        <w:ind w:left="-142"/>
                        <w:jc w:val="center"/>
                      </w:pPr>
                      <w:r>
                        <w:rPr>
                          <w:rFonts w:eastAsia="Arial Narrow" w:cs="Arial"/>
                          <w:noProof/>
                          <w:sz w:val="21"/>
                          <w:szCs w:val="21"/>
                        </w:rPr>
                        <w:drawing>
                          <wp:inline distT="0" distB="0" distL="0" distR="0" wp14:anchorId="328C3B54" wp14:editId="48CCD2D7">
                            <wp:extent cx="3676562" cy="20371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10-08 at 6.15.11 PM.png"/>
                                    <pic:cNvPicPr/>
                                  </pic:nvPicPr>
                                  <pic:blipFill>
                                    <a:blip r:embed="rId12">
                                      <a:extLst>
                                        <a:ext uri="{28A0092B-C50C-407E-A947-70E740481C1C}">
                                          <a14:useLocalDpi xmlns:a14="http://schemas.microsoft.com/office/drawing/2010/main" val="0"/>
                                        </a:ext>
                                      </a:extLst>
                                    </a:blip>
                                    <a:stretch>
                                      <a:fillRect/>
                                    </a:stretch>
                                  </pic:blipFill>
                                  <pic:spPr>
                                    <a:xfrm>
                                      <a:off x="0" y="0"/>
                                      <a:ext cx="3710491" cy="2055944"/>
                                    </a:xfrm>
                                    <a:prstGeom prst="rect">
                                      <a:avLst/>
                                    </a:prstGeom>
                                  </pic:spPr>
                                </pic:pic>
                              </a:graphicData>
                            </a:graphic>
                          </wp:inline>
                        </w:drawing>
                      </w:r>
                    </w:p>
                    <w:p w14:paraId="66C1C348" w14:textId="620CD31A" w:rsidR="00E47C06" w:rsidRPr="00214FD0" w:rsidRDefault="00E47C06" w:rsidP="00E47C06">
                      <w:pPr>
                        <w:pStyle w:val="Caption"/>
                        <w:jc w:val="center"/>
                        <w:rPr>
                          <w:rFonts w:eastAsia="Arial Narrow" w:cs="Arial"/>
                          <w:noProof/>
                          <w:sz w:val="21"/>
                          <w:szCs w:val="21"/>
                        </w:rPr>
                      </w:pPr>
                      <w:bookmarkStart w:id="8" w:name="_Ref21451800"/>
                      <w:r>
                        <w:t xml:space="preserve">Figure </w:t>
                      </w:r>
                      <w:bookmarkEnd w:id="8"/>
                      <w:r w:rsidR="00AD27A4">
                        <w:t>6</w:t>
                      </w:r>
                      <w:r>
                        <w:t>- Global view of Opportunistic vs Organized CRC Screening</w:t>
                      </w:r>
                    </w:p>
                  </w:txbxContent>
                </v:textbox>
                <w10:wrap type="tight"/>
              </v:shape>
            </w:pict>
          </mc:Fallback>
        </mc:AlternateContent>
      </w:r>
      <w:r w:rsidRPr="00EB6BBE">
        <w:rPr>
          <w:rFonts w:eastAsia="Arial Narrow" w:cs="Arial"/>
          <w:sz w:val="20"/>
          <w:szCs w:val="20"/>
        </w:rPr>
        <w:t>“</w:t>
      </w:r>
      <w:r w:rsidRPr="00E47C06">
        <w:rPr>
          <w:rFonts w:ascii="Arial" w:eastAsia="Times New Roman" w:hAnsi="Arial" w:cs="Arial"/>
          <w:color w:val="000000" w:themeColor="text1"/>
          <w:sz w:val="20"/>
          <w:szCs w:val="20"/>
          <w:lang w:val="en-GB"/>
        </w:rPr>
        <w:t xml:space="preserve">Opportunistic” CRC screening is somewhat ad hoc, whereby a patient or a general practitioner needs to take the initiative for CRC screening. In “Organized” screening a national program involves invitations to screen, and includes timely follow-up diagnostic tests, centralized database maintenance etc. The overall status of CRC screening in the Western hemisphere is depicted in </w:t>
      </w:r>
      <w:r w:rsidR="009C75A2">
        <w:rPr>
          <w:rFonts w:ascii="Arial" w:eastAsia="Times New Roman" w:hAnsi="Arial" w:cs="Arial"/>
          <w:color w:val="000000" w:themeColor="text1"/>
          <w:sz w:val="20"/>
          <w:szCs w:val="20"/>
          <w:lang w:val="en-GB"/>
        </w:rPr>
        <w:t>Figure 6</w:t>
      </w:r>
      <w:r w:rsidRPr="00E47C06">
        <w:rPr>
          <w:rFonts w:ascii="Arial" w:eastAsia="Times New Roman" w:hAnsi="Arial" w:cs="Arial"/>
          <w:color w:val="000000" w:themeColor="text1"/>
          <w:sz w:val="20"/>
          <w:szCs w:val="20"/>
          <w:lang w:val="en-GB"/>
        </w:rPr>
        <w:t xml:space="preserve">; the opportunistic nature of screening in several countries and the diversity of approaches &amp; modalities employed in this growing market is a unique opportunity for a swift entry and extensive market capture, given that an accurate, cost-effective and pain-free screening test becomes available. In the US alone, where opportunistic primary colonoscopy is employed as the commonest screening option, 107 million Americans aged 50+ qualify for colonoscopy, and despite national and private TV campaigns, digital marketing, primary care sales force, collated materials, clinical &amp; health publications, etc., almost 1 in 3 adults still do not engage with CRC screening; that equates to 28million Americans not having an up-to-date CRC check-up. The explanation is because of the reasons listed in </w:t>
      </w:r>
      <w:r w:rsidR="009C75A2">
        <w:rPr>
          <w:rFonts w:ascii="Arial" w:eastAsia="Times New Roman" w:hAnsi="Arial" w:cs="Arial"/>
          <w:color w:val="000000" w:themeColor="text1"/>
          <w:sz w:val="20"/>
          <w:szCs w:val="20"/>
          <w:lang w:val="en-GB"/>
        </w:rPr>
        <w:t>Figure 2</w:t>
      </w:r>
      <w:r w:rsidRPr="00E47C06">
        <w:rPr>
          <w:rFonts w:ascii="Arial" w:eastAsia="Times New Roman" w:hAnsi="Arial" w:cs="Arial"/>
          <w:color w:val="000000" w:themeColor="text1"/>
          <w:sz w:val="20"/>
          <w:szCs w:val="20"/>
          <w:lang w:val="en-GB"/>
        </w:rPr>
        <w:t xml:space="preserve">. In 2018 the American Cancer Society recommended that the screening should start at the age of 45 instead of 50 so the number non-engaged with screening is estimated to be around 50 million adults. </w:t>
      </w:r>
    </w:p>
    <w:p w14:paraId="3B8C0695" w14:textId="77777777" w:rsidR="00E47C06" w:rsidRPr="00E47C06" w:rsidRDefault="00E47C06" w:rsidP="00E47C06">
      <w:pPr>
        <w:jc w:val="both"/>
        <w:rPr>
          <w:rFonts w:ascii="Arial" w:eastAsia="Times New Roman" w:hAnsi="Arial" w:cs="Arial"/>
          <w:color w:val="000000" w:themeColor="text1"/>
          <w:sz w:val="20"/>
          <w:szCs w:val="20"/>
          <w:lang w:val="en-GB"/>
        </w:rPr>
      </w:pPr>
      <w:r w:rsidRPr="00E47C06">
        <w:rPr>
          <w:rFonts w:ascii="Arial" w:eastAsia="Times New Roman" w:hAnsi="Arial" w:cs="Arial"/>
          <w:color w:val="000000" w:themeColor="text1"/>
          <w:sz w:val="20"/>
          <w:szCs w:val="20"/>
          <w:lang w:val="en-GB"/>
        </w:rPr>
        <w:t xml:space="preserve">In the EU, in the larger countries ( UK, France, Spain Germany, Italy) the target population (aged 50-74) amounts to about 98 million. Currently only 3.5 million colonoscopies are done each year, meaning that there is much room for the penetration of an easy, accurate CRC screening test. Currently the EU </w:t>
      </w:r>
      <w:r w:rsidRPr="00E47C06">
        <w:rPr>
          <w:rFonts w:ascii="Arial" w:eastAsia="Times New Roman" w:hAnsi="Arial" w:cs="Arial"/>
          <w:color w:val="000000" w:themeColor="text1"/>
          <w:sz w:val="20"/>
          <w:szCs w:val="20"/>
          <w:lang w:val="en-GB"/>
        </w:rPr>
        <w:lastRenderedPageBreak/>
        <w:t xml:space="preserve">is advancing with stool-based blood-detection test which has the drawback of late detection as explained earlier. </w:t>
      </w:r>
    </w:p>
    <w:p w14:paraId="05E55EAB" w14:textId="77777777" w:rsidR="00E47C06" w:rsidRPr="00E47C06" w:rsidRDefault="00E47C06" w:rsidP="00E47C06">
      <w:pPr>
        <w:jc w:val="both"/>
        <w:rPr>
          <w:rFonts w:ascii="Arial" w:eastAsia="Times New Roman" w:hAnsi="Arial" w:cs="Arial"/>
          <w:color w:val="000000" w:themeColor="text1"/>
          <w:sz w:val="20"/>
          <w:szCs w:val="20"/>
          <w:lang w:val="en-GB"/>
        </w:rPr>
      </w:pPr>
      <w:r w:rsidRPr="00E47C06">
        <w:rPr>
          <w:rFonts w:ascii="Arial" w:eastAsia="Times New Roman" w:hAnsi="Arial" w:cs="Arial"/>
          <w:color w:val="000000" w:themeColor="text1"/>
          <w:sz w:val="20"/>
          <w:szCs w:val="20"/>
          <w:lang w:val="en-GB"/>
        </w:rPr>
        <w:t>In Asia there is a sharp increase</w:t>
      </w:r>
      <w:r w:rsidRPr="009C75A2">
        <w:rPr>
          <w:rFonts w:ascii="Arial" w:eastAsia="Times New Roman" w:hAnsi="Arial"/>
          <w:color w:val="000000" w:themeColor="text1"/>
          <w:sz w:val="20"/>
          <w:szCs w:val="20"/>
          <w:vertAlign w:val="superscript"/>
        </w:rPr>
        <w:footnoteReference w:id="1"/>
      </w:r>
      <w:r w:rsidRPr="009C75A2">
        <w:rPr>
          <w:rFonts w:ascii="Arial" w:eastAsia="Times New Roman" w:hAnsi="Arial" w:cs="Arial"/>
          <w:color w:val="000000" w:themeColor="text1"/>
          <w:sz w:val="20"/>
          <w:szCs w:val="20"/>
          <w:vertAlign w:val="superscript"/>
          <w:lang w:val="en-GB"/>
        </w:rPr>
        <w:t xml:space="preserve"> </w:t>
      </w:r>
      <w:r w:rsidRPr="00E47C06">
        <w:rPr>
          <w:rFonts w:ascii="Arial" w:eastAsia="Times New Roman" w:hAnsi="Arial" w:cs="Arial"/>
          <w:color w:val="000000" w:themeColor="text1"/>
          <w:sz w:val="20"/>
          <w:szCs w:val="20"/>
          <w:lang w:val="en-GB"/>
        </w:rPr>
        <w:t xml:space="preserve">in the incidence of colorectal cancer, possibly attributed to the economic growth and adoption of the western lifestyle. Lifestyle-related risk factors include smoking, alcohol, red- and processed meat consumption, obesity and physical inactivity. </w:t>
      </w:r>
    </w:p>
    <w:p w14:paraId="4B6D861C" w14:textId="77777777" w:rsidR="00E47C06" w:rsidRPr="00E47C06" w:rsidRDefault="00E47C06" w:rsidP="00E47C06">
      <w:pPr>
        <w:jc w:val="both"/>
        <w:rPr>
          <w:rFonts w:ascii="Arial" w:eastAsia="Times New Roman" w:hAnsi="Arial" w:cs="Arial"/>
          <w:color w:val="000000" w:themeColor="text1"/>
          <w:sz w:val="20"/>
          <w:szCs w:val="20"/>
          <w:lang w:val="en-GB"/>
        </w:rPr>
      </w:pPr>
      <w:r w:rsidRPr="00E47C06">
        <w:rPr>
          <w:rFonts w:ascii="Arial" w:eastAsia="Times New Roman" w:hAnsi="Arial" w:cs="Arial"/>
          <w:color w:val="000000" w:themeColor="text1"/>
          <w:sz w:val="20"/>
          <w:szCs w:val="20"/>
          <w:lang w:val="en-GB"/>
        </w:rPr>
        <w:t>Thus, due to the global threat of CRC (3rd most common cancer), the market is large. This resonates with the findings of an Industry ARC business report, which estimates the global colorectal cancer market size at $9.5Bn as of 2018, and projects the overall revenue avenues to increment at a compound annual growth rate (CAGR) of 2.60% during the forecast period of 2019 to 2025. The main competitors/commercially-available solutions have been addressed in section 1.2, where we presented the advantages of our product.</w:t>
      </w:r>
    </w:p>
    <w:p w14:paraId="43BEBEA8" w14:textId="77777777" w:rsidR="00E47C06" w:rsidRPr="00E47C06" w:rsidRDefault="00E47C06" w:rsidP="00E47C06">
      <w:pPr>
        <w:jc w:val="both"/>
        <w:rPr>
          <w:rFonts w:ascii="Arial" w:eastAsia="Times New Roman" w:hAnsi="Arial" w:cs="Arial"/>
          <w:color w:val="000000" w:themeColor="text1"/>
          <w:sz w:val="20"/>
          <w:szCs w:val="20"/>
          <w:lang w:val="en-GB"/>
        </w:rPr>
      </w:pPr>
      <w:r w:rsidRPr="00E47C06">
        <w:rPr>
          <w:rFonts w:ascii="Arial" w:eastAsia="Times New Roman" w:hAnsi="Arial" w:cs="Arial"/>
          <w:color w:val="000000" w:themeColor="text1"/>
          <w:sz w:val="20"/>
          <w:szCs w:val="20"/>
          <w:lang w:val="en-GB"/>
        </w:rPr>
        <w:t xml:space="preserve"> AJM’s market strategy will be to first penetrate the USA market and establish a first revenue stream, before moving on to follow on markets. The financial pain point is the highest in the USA for the medical insurance companies. The cost of CRC treatment is a few tens of thousands, on average, and an effective early stage and easy screening test can significantly reduce expensive claims. Furthermore, AJM will avoid the slow process of adoption of their product by the National Health Systems, that are prevalent in Europe. In the USA the population that is over 50 that would require screening amounts to 107million. Assuming that 90% of this population is covered by health insurance and narrowing the total addressable market (TAM) to people with a smartphone, etc, we estimate to be able to access about 10 million people per year, who are willing to take the CORE-SCREEN test, once every two years.</w:t>
      </w:r>
    </w:p>
    <w:p w14:paraId="6E2CFB03" w14:textId="24DD1C57" w:rsidR="008D7D9E" w:rsidRDefault="008D7D9E">
      <w:pPr>
        <w:rPr>
          <w:rFonts w:ascii="Arial" w:hAnsi="Arial" w:cs="Arial"/>
          <w:lang w:val="en-GB"/>
        </w:rPr>
      </w:pPr>
    </w:p>
    <w:bookmarkEnd w:id="6"/>
    <w:p w14:paraId="449576F9" w14:textId="08C96E6A" w:rsidR="0047509A" w:rsidRDefault="008D7D9E" w:rsidP="00E47C06">
      <w:pPr>
        <w:jc w:val="both"/>
        <w:rPr>
          <w:rFonts w:ascii="Arial" w:hAnsi="Arial" w:cs="Arial"/>
          <w:b/>
          <w:bCs/>
          <w:sz w:val="28"/>
          <w:szCs w:val="28"/>
        </w:rPr>
      </w:pPr>
      <w:r w:rsidRPr="002D78B7">
        <w:rPr>
          <w:rFonts w:ascii="Arial" w:hAnsi="Arial" w:cs="Arial"/>
          <w:b/>
          <w:bCs/>
          <w:sz w:val="28"/>
          <w:szCs w:val="28"/>
        </w:rPr>
        <w:t>Industry Description</w:t>
      </w:r>
    </w:p>
    <w:p w14:paraId="18BC1CE6" w14:textId="77777777" w:rsidR="00CC7F32" w:rsidRDefault="00CC7F32" w:rsidP="00E47C06">
      <w:pPr>
        <w:jc w:val="both"/>
        <w:rPr>
          <w:rFonts w:ascii="Arial" w:hAnsi="Arial" w:cs="Arial"/>
          <w:b/>
          <w:bCs/>
          <w:sz w:val="28"/>
          <w:szCs w:val="28"/>
        </w:rPr>
      </w:pPr>
      <w:bookmarkStart w:id="9" w:name="_Hlk159475704"/>
    </w:p>
    <w:p w14:paraId="1BD45DA3" w14:textId="1F35A884" w:rsidR="008D7D9E" w:rsidRDefault="008D7D9E" w:rsidP="008D7D9E">
      <w:pPr>
        <w:jc w:val="both"/>
        <w:rPr>
          <w:rFonts w:ascii="Arial" w:eastAsia="Arial Narrow" w:hAnsi="Arial" w:cs="Arial"/>
          <w:sz w:val="20"/>
          <w:szCs w:val="20"/>
        </w:rPr>
      </w:pPr>
      <w:r w:rsidRPr="008D7D9E">
        <w:rPr>
          <w:rFonts w:ascii="Arial" w:eastAsia="Arial Narrow" w:hAnsi="Arial" w:cs="Arial"/>
          <w:b/>
          <w:bCs/>
          <w:noProof/>
          <w:sz w:val="20"/>
          <w:szCs w:val="20"/>
        </w:rPr>
        <mc:AlternateContent>
          <mc:Choice Requires="wps">
            <w:drawing>
              <wp:anchor distT="0" distB="0" distL="114300" distR="114300" simplePos="0" relativeHeight="251669504" behindDoc="1" locked="0" layoutInCell="1" allowOverlap="1" wp14:anchorId="049285E2" wp14:editId="51F286B5">
                <wp:simplePos x="0" y="0"/>
                <wp:positionH relativeFrom="column">
                  <wp:posOffset>1711325</wp:posOffset>
                </wp:positionH>
                <wp:positionV relativeFrom="paragraph">
                  <wp:posOffset>42545</wp:posOffset>
                </wp:positionV>
                <wp:extent cx="4003675" cy="2226945"/>
                <wp:effectExtent l="0" t="0" r="0" b="0"/>
                <wp:wrapTight wrapText="bothSides">
                  <wp:wrapPolygon edited="0">
                    <wp:start x="0" y="0"/>
                    <wp:lineTo x="0" y="21434"/>
                    <wp:lineTo x="21514" y="21434"/>
                    <wp:lineTo x="21514"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4003675" cy="2226945"/>
                        </a:xfrm>
                        <a:prstGeom prst="rect">
                          <a:avLst/>
                        </a:prstGeom>
                        <a:solidFill>
                          <a:schemeClr val="lt1"/>
                        </a:solidFill>
                        <a:ln w="6350">
                          <a:noFill/>
                        </a:ln>
                      </wps:spPr>
                      <wps:txbx>
                        <w:txbxContent>
                          <w:p w14:paraId="14EDEAE9" w14:textId="77777777" w:rsidR="008D7D9E" w:rsidRDefault="008D7D9E" w:rsidP="008D7D9E">
                            <w:pPr>
                              <w:jc w:val="center"/>
                            </w:pPr>
                            <w:r>
                              <w:rPr>
                                <w:noProof/>
                              </w:rPr>
                              <w:drawing>
                                <wp:inline distT="0" distB="0" distL="0" distR="0" wp14:anchorId="46009109" wp14:editId="7C985F73">
                                  <wp:extent cx="3731703" cy="178016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9156" cy="1798033"/>
                                          </a:xfrm>
                                          <a:prstGeom prst="rect">
                                            <a:avLst/>
                                          </a:prstGeom>
                                        </pic:spPr>
                                      </pic:pic>
                                    </a:graphicData>
                                  </a:graphic>
                                </wp:inline>
                              </w:drawing>
                            </w:r>
                          </w:p>
                          <w:p w14:paraId="0659B69A" w14:textId="57D496B0" w:rsidR="008D7D9E" w:rsidRPr="00EE268F" w:rsidRDefault="008D7D9E" w:rsidP="008D7D9E">
                            <w:pPr>
                              <w:pStyle w:val="Caption"/>
                              <w:jc w:val="center"/>
                              <w:rPr>
                                <w:rFonts w:eastAsia="Arial Narrow" w:cs="Arial"/>
                                <w:b/>
                                <w:bCs/>
                                <w:noProof/>
                                <w:sz w:val="21"/>
                                <w:szCs w:val="21"/>
                              </w:rPr>
                            </w:pPr>
                            <w:r>
                              <w:t>Figure 7- Comparing competition with the two most important characteristics to patients</w:t>
                            </w:r>
                          </w:p>
                          <w:p w14:paraId="3ABEF023" w14:textId="77777777" w:rsidR="008D7D9E" w:rsidRDefault="008D7D9E" w:rsidP="008D7D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85E2" id="Text Box 27" o:spid="_x0000_s1029" type="#_x0000_t202" style="position:absolute;left:0;text-align:left;margin-left:134.75pt;margin-top:3.35pt;width:315.25pt;height:17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WMQIAAFw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" fillcolor="white [3201]" stroked="f" strokeweight=".5pt">
                <v:textbox>
                  <w:txbxContent>
                    <w:p w14:paraId="14EDEAE9" w14:textId="77777777" w:rsidR="008D7D9E" w:rsidRDefault="008D7D9E" w:rsidP="008D7D9E">
                      <w:pPr>
                        <w:jc w:val="center"/>
                      </w:pPr>
                      <w:r>
                        <w:rPr>
                          <w:noProof/>
                        </w:rPr>
                        <w:drawing>
                          <wp:inline distT="0" distB="0" distL="0" distR="0" wp14:anchorId="46009109" wp14:editId="7C985F73">
                            <wp:extent cx="3731703" cy="178016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9156" cy="1798033"/>
                                    </a:xfrm>
                                    <a:prstGeom prst="rect">
                                      <a:avLst/>
                                    </a:prstGeom>
                                  </pic:spPr>
                                </pic:pic>
                              </a:graphicData>
                            </a:graphic>
                          </wp:inline>
                        </w:drawing>
                      </w:r>
                    </w:p>
                    <w:p w14:paraId="0659B69A" w14:textId="57D496B0" w:rsidR="008D7D9E" w:rsidRPr="00EE268F" w:rsidRDefault="008D7D9E" w:rsidP="008D7D9E">
                      <w:pPr>
                        <w:pStyle w:val="Caption"/>
                        <w:jc w:val="center"/>
                        <w:rPr>
                          <w:rFonts w:eastAsia="Arial Narrow" w:cs="Arial"/>
                          <w:b/>
                          <w:bCs/>
                          <w:noProof/>
                          <w:sz w:val="21"/>
                          <w:szCs w:val="21"/>
                        </w:rPr>
                      </w:pPr>
                      <w:r>
                        <w:t>Figure 7- Comparing competition with the two most important characteristics to patients</w:t>
                      </w:r>
                    </w:p>
                    <w:p w14:paraId="3ABEF023" w14:textId="77777777" w:rsidR="008D7D9E" w:rsidRDefault="008D7D9E" w:rsidP="008D7D9E">
                      <w:pPr>
                        <w:jc w:val="center"/>
                      </w:pPr>
                    </w:p>
                  </w:txbxContent>
                </v:textbox>
                <w10:wrap type="tight"/>
              </v:shape>
            </w:pict>
          </mc:Fallback>
        </mc:AlternateContent>
      </w:r>
      <w:r w:rsidRPr="008D7D9E">
        <w:rPr>
          <w:rFonts w:ascii="Arial" w:hAnsi="Arial" w:cs="Arial"/>
          <w:sz w:val="20"/>
          <w:szCs w:val="20"/>
        </w:rPr>
        <w:t xml:space="preserve">According to a survey, the </w:t>
      </w:r>
      <w:r w:rsidRPr="008D7D9E">
        <w:rPr>
          <w:rFonts w:ascii="Arial" w:hAnsi="Arial" w:cs="Arial"/>
          <w:b/>
          <w:sz w:val="20"/>
          <w:szCs w:val="20"/>
        </w:rPr>
        <w:t>two most important characteristics</w:t>
      </w:r>
      <w:r w:rsidRPr="008D7D9E">
        <w:rPr>
          <w:rFonts w:ascii="Arial" w:hAnsi="Arial" w:cs="Arial"/>
          <w:sz w:val="20"/>
          <w:szCs w:val="20"/>
        </w:rPr>
        <w:t xml:space="preserve"> of an intestinal screening test for subjects are: 1) Reliable detection at an early stage and 2) A comfortable screening process. Currently there are a number of competing methods of screening, each with their pros and cons.</w:t>
      </w:r>
      <w:r w:rsidRPr="008D7D9E">
        <w:rPr>
          <w:rFonts w:ascii="Arial" w:eastAsia="Arial Narrow" w:hAnsi="Arial" w:cs="Arial"/>
          <w:b/>
          <w:bCs/>
          <w:noProof/>
          <w:sz w:val="20"/>
          <w:szCs w:val="20"/>
        </w:rPr>
        <w:t xml:space="preserve"> </w:t>
      </w:r>
      <w:r w:rsidRPr="008D7D9E">
        <w:rPr>
          <w:rFonts w:ascii="Arial" w:eastAsia="Arial Narrow" w:hAnsi="Arial" w:cs="Arial"/>
          <w:b/>
          <w:bCs/>
          <w:sz w:val="20"/>
          <w:szCs w:val="20"/>
        </w:rPr>
        <w:t>• Fecal specimen occult blood detection tests</w:t>
      </w:r>
      <w:r w:rsidRPr="008D7D9E">
        <w:rPr>
          <w:rFonts w:ascii="Arial" w:eastAsia="Arial Narrow" w:hAnsi="Arial" w:cs="Arial"/>
          <w:sz w:val="20"/>
          <w:szCs w:val="20"/>
        </w:rPr>
        <w:t xml:space="preserve"> are low cost, but also low accuracy. The FOB or FIT test will test positive if one has bleeding gums or an ulcer and also require the lesion to be at a stage where it bleeds. Furthermore, most people are uncomfortable with handling fecal matter; </w:t>
      </w:r>
      <w:r w:rsidRPr="008D7D9E">
        <w:rPr>
          <w:rFonts w:ascii="Arial" w:eastAsia="Arial Narrow" w:hAnsi="Arial" w:cs="Arial"/>
          <w:b/>
          <w:bCs/>
          <w:sz w:val="20"/>
          <w:szCs w:val="20"/>
        </w:rPr>
        <w:t>Faecal specimen DNA test</w:t>
      </w:r>
      <w:r w:rsidRPr="008D7D9E">
        <w:rPr>
          <w:rFonts w:ascii="Arial" w:eastAsia="Arial Narrow" w:hAnsi="Arial" w:cs="Arial"/>
          <w:sz w:val="20"/>
          <w:szCs w:val="20"/>
        </w:rPr>
        <w:t xml:space="preserve"> (</w:t>
      </w:r>
      <w:r w:rsidRPr="008D7D9E">
        <w:rPr>
          <w:rFonts w:ascii="Arial" w:eastAsia="Arial Narrow" w:hAnsi="Arial" w:cs="Arial"/>
          <w:b/>
          <w:bCs/>
          <w:sz w:val="20"/>
          <w:szCs w:val="20"/>
        </w:rPr>
        <w:t>Cologuard®)</w:t>
      </w:r>
      <w:r w:rsidRPr="008D7D9E">
        <w:rPr>
          <w:rFonts w:ascii="Arial" w:eastAsia="Arial Narrow" w:hAnsi="Arial" w:cs="Arial"/>
          <w:sz w:val="20"/>
          <w:szCs w:val="20"/>
        </w:rPr>
        <w:t xml:space="preserve">, require that stools are collected and stirred within a solution before shipping by courier to a specialized laboratory in the USA. Despite improved accuracy for early cancer, compared FOB and FIT, it is costly and has low detection capacity for polyps; </w:t>
      </w:r>
      <w:r w:rsidRPr="008D7D9E">
        <w:rPr>
          <w:rFonts w:ascii="Arial" w:eastAsia="Arial Narrow" w:hAnsi="Arial" w:cs="Arial"/>
          <w:b/>
          <w:bCs/>
          <w:sz w:val="20"/>
          <w:szCs w:val="20"/>
        </w:rPr>
        <w:t>• CT colonography</w:t>
      </w:r>
      <w:r w:rsidRPr="008D7D9E">
        <w:rPr>
          <w:rFonts w:ascii="Arial" w:eastAsia="Arial Narrow" w:hAnsi="Arial" w:cs="Arial"/>
          <w:sz w:val="20"/>
          <w:szCs w:val="20"/>
        </w:rPr>
        <w:t xml:space="preserve"> requires extensive bowel prep and only allows for morphological assessment of the bowel wall, often missing small lesions or the almost flat sessile serated adenomas (SSA). Furthermore there is always the risk of cumulative ionizing radiation to the screened individual; </w:t>
      </w:r>
      <w:r w:rsidRPr="008D7D9E">
        <w:rPr>
          <w:rFonts w:ascii="Arial" w:eastAsia="Arial Narrow" w:hAnsi="Arial" w:cs="Arial"/>
          <w:b/>
          <w:bCs/>
          <w:sz w:val="20"/>
          <w:szCs w:val="20"/>
        </w:rPr>
        <w:t>• Check-Cap's (X-ray capsule)</w:t>
      </w:r>
      <w:r w:rsidRPr="008D7D9E">
        <w:rPr>
          <w:rFonts w:ascii="Arial" w:eastAsia="Arial Narrow" w:hAnsi="Arial" w:cs="Arial"/>
          <w:sz w:val="20"/>
          <w:szCs w:val="20"/>
        </w:rPr>
        <w:t xml:space="preserve"> is a pre-market product with a mini CT scanner in a pill and does not require bowel preparation. It has the same disadvantages as CT colonography with regards to small/flat lesions and also involves convincing subjects to swallow a pill with radioactive Osmium inside. Sensitivity for polyps was found to be 44% in clinical trials. The radioactive material becomes a problem once the capsule enters the sewage system after being expelled from the body; </w:t>
      </w:r>
      <w:r w:rsidRPr="008D7D9E">
        <w:rPr>
          <w:rFonts w:ascii="Arial" w:eastAsia="Arial Narrow" w:hAnsi="Arial" w:cs="Arial"/>
          <w:b/>
          <w:bCs/>
          <w:sz w:val="20"/>
          <w:szCs w:val="20"/>
        </w:rPr>
        <w:t xml:space="preserve">• Colonic imaging capsule </w:t>
      </w:r>
      <w:r w:rsidRPr="008D7D9E">
        <w:rPr>
          <w:rFonts w:ascii="Arial" w:eastAsia="Arial Narrow" w:hAnsi="Arial" w:cs="Arial"/>
          <w:sz w:val="20"/>
          <w:szCs w:val="20"/>
        </w:rPr>
        <w:t>(</w:t>
      </w:r>
      <w:r w:rsidRPr="008D7D9E">
        <w:rPr>
          <w:rFonts w:ascii="Arial" w:eastAsia="Arial Narrow" w:hAnsi="Arial" w:cs="Arial"/>
          <w:b/>
          <w:bCs/>
          <w:sz w:val="20"/>
          <w:szCs w:val="20"/>
        </w:rPr>
        <w:t>PillCam®Colon2</w:t>
      </w:r>
      <w:r w:rsidRPr="008D7D9E">
        <w:rPr>
          <w:rFonts w:ascii="Arial" w:eastAsia="Arial Narrow" w:hAnsi="Arial" w:cs="Arial"/>
          <w:sz w:val="20"/>
          <w:szCs w:val="20"/>
        </w:rPr>
        <w:t xml:space="preserve">) is a great non-invasive approach which requires a very clean intestine, thus requiring a very aggressive bowel preparation. Also the subject is required to wear an external belt/recorder for over a day to save the footage. A doctor </w:t>
      </w:r>
      <w:r w:rsidRPr="008D7D9E">
        <w:rPr>
          <w:rFonts w:ascii="Arial" w:eastAsia="Arial Narrow" w:hAnsi="Arial" w:cs="Arial"/>
          <w:sz w:val="20"/>
          <w:szCs w:val="20"/>
        </w:rPr>
        <w:lastRenderedPageBreak/>
        <w:t>is then</w:t>
      </w:r>
      <w:r w:rsidRPr="008D7D9E">
        <w:rPr>
          <w:rFonts w:ascii="Arial" w:eastAsia="Arial Narrow" w:hAnsi="Arial" w:cs="Arial"/>
          <w:sz w:val="21"/>
          <w:szCs w:val="21"/>
        </w:rPr>
        <w:t xml:space="preserve"> </w:t>
      </w:r>
      <w:r w:rsidRPr="008D7D9E">
        <w:rPr>
          <w:rFonts w:ascii="Arial" w:eastAsia="Arial Narrow" w:hAnsi="Arial" w:cs="Arial"/>
          <w:sz w:val="20"/>
          <w:szCs w:val="20"/>
        </w:rPr>
        <w:t xml:space="preserve">required to look through hours of footage of the intestine, usually in an accelerated mode, trying to spot early stage lesions. This entails a high labor cost, that makes it unsuitable for a mass screening test; Lastly, the current undisputable reference standard for colonic screening, </w:t>
      </w:r>
      <w:r w:rsidRPr="008D7D9E">
        <w:rPr>
          <w:rFonts w:ascii="Arial" w:eastAsia="Arial Narrow" w:hAnsi="Arial" w:cs="Arial"/>
          <w:b/>
          <w:bCs/>
          <w:sz w:val="20"/>
          <w:szCs w:val="20"/>
        </w:rPr>
        <w:t xml:space="preserve">the optical colonoscopy </w:t>
      </w:r>
      <w:r w:rsidRPr="008D7D9E">
        <w:rPr>
          <w:rFonts w:ascii="Arial" w:eastAsia="Arial Narrow" w:hAnsi="Arial" w:cs="Arial"/>
          <w:sz w:val="20"/>
          <w:szCs w:val="20"/>
        </w:rPr>
        <w:t>is undoubtedly invasive and off-putting for the reasons shown in Figure2. To address the discomfort in most countries, this is performed under sedation or anesthesia, which comes with risks when screening the elderly. Moreover, the lack of colonoscopists and an unprecedented demand for regular screening has created a screening backlog.</w:t>
      </w:r>
    </w:p>
    <w:p w14:paraId="688E8321" w14:textId="3E496527" w:rsidR="00A60AD8" w:rsidRDefault="00A60AD8" w:rsidP="008D7D9E">
      <w:pPr>
        <w:jc w:val="both"/>
        <w:rPr>
          <w:rFonts w:ascii="Arial" w:eastAsia="Arial Narrow" w:hAnsi="Arial" w:cs="Arial"/>
          <w:sz w:val="20"/>
          <w:szCs w:val="20"/>
        </w:rPr>
      </w:pPr>
    </w:p>
    <w:p w14:paraId="20BA4CAE" w14:textId="5DE84BCE" w:rsidR="00A60AD8" w:rsidRDefault="00A60AD8" w:rsidP="008D7D9E">
      <w:pPr>
        <w:jc w:val="both"/>
        <w:rPr>
          <w:rFonts w:ascii="Arial" w:eastAsia="Arial Narrow" w:hAnsi="Arial" w:cs="Arial"/>
          <w:sz w:val="20"/>
          <w:szCs w:val="20"/>
        </w:rPr>
      </w:pPr>
      <w:r>
        <w:rPr>
          <w:rFonts w:ascii="Arial" w:eastAsia="Arial Narrow" w:hAnsi="Arial" w:cs="Arial"/>
          <w:sz w:val="20"/>
          <w:szCs w:val="20"/>
        </w:rPr>
        <w:t>Companies active in the intestinal cancer capsule screening field are:</w:t>
      </w:r>
    </w:p>
    <w:p w14:paraId="4E84C57C" w14:textId="00FA6065" w:rsidR="00A60AD8" w:rsidRDefault="00A60AD8" w:rsidP="00A60AD8">
      <w:pPr>
        <w:pStyle w:val="ListParagraph"/>
        <w:numPr>
          <w:ilvl w:val="0"/>
          <w:numId w:val="1"/>
        </w:numPr>
        <w:jc w:val="both"/>
        <w:rPr>
          <w:rFonts w:eastAsia="Arial Narrow" w:cs="Arial"/>
          <w:sz w:val="20"/>
          <w:szCs w:val="20"/>
        </w:rPr>
      </w:pPr>
      <w:r>
        <w:rPr>
          <w:rFonts w:eastAsia="Arial Narrow" w:cs="Arial"/>
          <w:sz w:val="20"/>
          <w:szCs w:val="20"/>
        </w:rPr>
        <w:t>Given Imaging acquired by Medtronic</w:t>
      </w:r>
    </w:p>
    <w:p w14:paraId="2050C60E" w14:textId="44861769" w:rsidR="00A60AD8" w:rsidRDefault="00A60AD8" w:rsidP="00A60AD8">
      <w:pPr>
        <w:pStyle w:val="ListParagraph"/>
        <w:numPr>
          <w:ilvl w:val="0"/>
          <w:numId w:val="1"/>
        </w:numPr>
        <w:jc w:val="both"/>
        <w:rPr>
          <w:rFonts w:eastAsia="Arial Narrow" w:cs="Arial"/>
          <w:sz w:val="20"/>
          <w:szCs w:val="20"/>
        </w:rPr>
      </w:pPr>
      <w:r>
        <w:rPr>
          <w:rFonts w:eastAsia="Arial Narrow" w:cs="Arial"/>
          <w:sz w:val="20"/>
          <w:szCs w:val="20"/>
        </w:rPr>
        <w:t>Olympus</w:t>
      </w:r>
    </w:p>
    <w:p w14:paraId="673CF0E8" w14:textId="74BA0C5F" w:rsidR="00A60AD8" w:rsidRDefault="00A60AD8" w:rsidP="00A60AD8">
      <w:pPr>
        <w:pStyle w:val="ListParagraph"/>
        <w:numPr>
          <w:ilvl w:val="0"/>
          <w:numId w:val="1"/>
        </w:numPr>
        <w:jc w:val="both"/>
        <w:rPr>
          <w:rFonts w:eastAsia="Arial Narrow" w:cs="Arial"/>
          <w:sz w:val="20"/>
          <w:szCs w:val="20"/>
        </w:rPr>
      </w:pPr>
      <w:r>
        <w:rPr>
          <w:rFonts w:eastAsia="Arial Narrow" w:cs="Arial"/>
          <w:sz w:val="20"/>
          <w:szCs w:val="20"/>
        </w:rPr>
        <w:t>Capsovision</w:t>
      </w:r>
    </w:p>
    <w:p w14:paraId="207995CB" w14:textId="617D214B" w:rsidR="00A60AD8" w:rsidRDefault="00A60AD8" w:rsidP="00A60AD8">
      <w:pPr>
        <w:pStyle w:val="ListParagraph"/>
        <w:numPr>
          <w:ilvl w:val="0"/>
          <w:numId w:val="1"/>
        </w:numPr>
        <w:jc w:val="both"/>
        <w:rPr>
          <w:rFonts w:eastAsia="Arial Narrow" w:cs="Arial"/>
          <w:sz w:val="20"/>
          <w:szCs w:val="20"/>
        </w:rPr>
      </w:pPr>
      <w:r>
        <w:rPr>
          <w:rFonts w:eastAsia="Arial Narrow" w:cs="Arial"/>
          <w:sz w:val="20"/>
          <w:szCs w:val="20"/>
        </w:rPr>
        <w:t>Intromedic</w:t>
      </w:r>
    </w:p>
    <w:p w14:paraId="1873361B" w14:textId="4F042D36" w:rsidR="003437F9" w:rsidRDefault="003437F9" w:rsidP="00A60AD8">
      <w:pPr>
        <w:pStyle w:val="ListParagraph"/>
        <w:numPr>
          <w:ilvl w:val="0"/>
          <w:numId w:val="1"/>
        </w:numPr>
        <w:jc w:val="both"/>
        <w:rPr>
          <w:rFonts w:eastAsia="Arial Narrow" w:cs="Arial"/>
          <w:sz w:val="20"/>
          <w:szCs w:val="20"/>
        </w:rPr>
      </w:pPr>
      <w:r>
        <w:rPr>
          <w:rFonts w:eastAsia="Arial Narrow" w:cs="Arial"/>
          <w:sz w:val="20"/>
          <w:szCs w:val="20"/>
        </w:rPr>
        <w:t>Checkcap</w:t>
      </w:r>
    </w:p>
    <w:p w14:paraId="2AB25023" w14:textId="26AF7953" w:rsidR="00A60AD8" w:rsidRDefault="00A60AD8" w:rsidP="00E47C06">
      <w:pPr>
        <w:jc w:val="both"/>
        <w:rPr>
          <w:rFonts w:ascii="Arial" w:hAnsi="Arial" w:cs="Arial"/>
          <w:sz w:val="20"/>
          <w:szCs w:val="20"/>
        </w:rPr>
      </w:pPr>
      <w:r w:rsidRPr="00A60AD8">
        <w:rPr>
          <w:rFonts w:ascii="Arial" w:hAnsi="Arial" w:cs="Arial"/>
          <w:sz w:val="20"/>
          <w:szCs w:val="20"/>
        </w:rPr>
        <w:t xml:space="preserve">Companies </w:t>
      </w:r>
      <w:r>
        <w:rPr>
          <w:rFonts w:ascii="Arial" w:hAnsi="Arial" w:cs="Arial"/>
          <w:sz w:val="20"/>
          <w:szCs w:val="20"/>
        </w:rPr>
        <w:t>active in the fecal blood or fecal DNA tests are:</w:t>
      </w:r>
    </w:p>
    <w:p w14:paraId="34CE2392" w14:textId="6C74AE92" w:rsidR="00A60AD8" w:rsidRDefault="00A60AD8" w:rsidP="00A60AD8">
      <w:pPr>
        <w:pStyle w:val="ListParagraph"/>
        <w:numPr>
          <w:ilvl w:val="0"/>
          <w:numId w:val="2"/>
        </w:numPr>
        <w:jc w:val="both"/>
        <w:rPr>
          <w:rFonts w:ascii="Arial" w:hAnsi="Arial" w:cs="Arial"/>
          <w:sz w:val="20"/>
          <w:szCs w:val="20"/>
        </w:rPr>
      </w:pPr>
      <w:r>
        <w:rPr>
          <w:rFonts w:ascii="Arial" w:hAnsi="Arial" w:cs="Arial"/>
          <w:sz w:val="20"/>
          <w:szCs w:val="20"/>
        </w:rPr>
        <w:t>Exact Sciences Corporation</w:t>
      </w:r>
    </w:p>
    <w:p w14:paraId="535A1824" w14:textId="7F19DE6C" w:rsidR="00A60AD8" w:rsidRDefault="00A60AD8" w:rsidP="00A60AD8">
      <w:pPr>
        <w:pStyle w:val="ListParagraph"/>
        <w:numPr>
          <w:ilvl w:val="0"/>
          <w:numId w:val="2"/>
        </w:numPr>
        <w:jc w:val="both"/>
        <w:rPr>
          <w:rFonts w:ascii="Arial" w:hAnsi="Arial" w:cs="Arial"/>
          <w:sz w:val="20"/>
          <w:szCs w:val="20"/>
        </w:rPr>
      </w:pPr>
      <w:r>
        <w:rPr>
          <w:rFonts w:ascii="Arial" w:hAnsi="Arial" w:cs="Arial"/>
          <w:sz w:val="20"/>
          <w:szCs w:val="20"/>
        </w:rPr>
        <w:t>Fisher Healthcare</w:t>
      </w:r>
    </w:p>
    <w:p w14:paraId="1E76D909" w14:textId="32249907" w:rsidR="003437F9" w:rsidRDefault="003437F9" w:rsidP="00A60AD8">
      <w:pPr>
        <w:pStyle w:val="ListParagraph"/>
        <w:numPr>
          <w:ilvl w:val="0"/>
          <w:numId w:val="2"/>
        </w:numPr>
        <w:jc w:val="both"/>
        <w:rPr>
          <w:rFonts w:ascii="Arial" w:hAnsi="Arial" w:cs="Arial"/>
          <w:sz w:val="20"/>
          <w:szCs w:val="20"/>
        </w:rPr>
      </w:pPr>
      <w:r>
        <w:rPr>
          <w:rFonts w:ascii="Arial" w:hAnsi="Arial" w:cs="Arial"/>
          <w:sz w:val="20"/>
          <w:szCs w:val="20"/>
        </w:rPr>
        <w:t>Aerscher Diagnostics</w:t>
      </w:r>
    </w:p>
    <w:p w14:paraId="410F801A" w14:textId="08D43168" w:rsidR="003437F9" w:rsidRDefault="003437F9" w:rsidP="00A60AD8">
      <w:pPr>
        <w:pStyle w:val="ListParagraph"/>
        <w:numPr>
          <w:ilvl w:val="0"/>
          <w:numId w:val="2"/>
        </w:numPr>
        <w:jc w:val="both"/>
        <w:rPr>
          <w:rFonts w:ascii="Arial" w:hAnsi="Arial" w:cs="Arial"/>
          <w:sz w:val="20"/>
          <w:szCs w:val="20"/>
        </w:rPr>
      </w:pPr>
      <w:r>
        <w:rPr>
          <w:rFonts w:ascii="Arial" w:hAnsi="Arial" w:cs="Arial"/>
          <w:sz w:val="20"/>
          <w:szCs w:val="20"/>
        </w:rPr>
        <w:t>Cambridge Diagnostic Products</w:t>
      </w:r>
    </w:p>
    <w:p w14:paraId="4F782026" w14:textId="6E475911" w:rsidR="003437F9" w:rsidRDefault="003437F9" w:rsidP="00A60AD8">
      <w:pPr>
        <w:pStyle w:val="ListParagraph"/>
        <w:numPr>
          <w:ilvl w:val="0"/>
          <w:numId w:val="2"/>
        </w:numPr>
        <w:jc w:val="both"/>
        <w:rPr>
          <w:rFonts w:ascii="Arial" w:hAnsi="Arial" w:cs="Arial"/>
          <w:sz w:val="20"/>
          <w:szCs w:val="20"/>
        </w:rPr>
      </w:pPr>
      <w:r>
        <w:rPr>
          <w:rFonts w:ascii="Arial" w:hAnsi="Arial" w:cs="Arial"/>
          <w:sz w:val="20"/>
          <w:szCs w:val="20"/>
        </w:rPr>
        <w:t>Germain Laboratories</w:t>
      </w:r>
    </w:p>
    <w:p w14:paraId="4230C2F5" w14:textId="23DCB4DA" w:rsidR="003437F9" w:rsidRDefault="003437F9" w:rsidP="00A60AD8">
      <w:pPr>
        <w:pStyle w:val="ListParagraph"/>
        <w:numPr>
          <w:ilvl w:val="0"/>
          <w:numId w:val="2"/>
        </w:numPr>
        <w:jc w:val="both"/>
        <w:rPr>
          <w:rFonts w:ascii="Arial" w:hAnsi="Arial" w:cs="Arial"/>
          <w:sz w:val="20"/>
          <w:szCs w:val="20"/>
        </w:rPr>
      </w:pPr>
      <w:r>
        <w:rPr>
          <w:rFonts w:ascii="Arial" w:hAnsi="Arial" w:cs="Arial"/>
          <w:sz w:val="20"/>
          <w:szCs w:val="20"/>
        </w:rPr>
        <w:t>Helena Laboratories</w:t>
      </w:r>
    </w:p>
    <w:p w14:paraId="6512E523" w14:textId="77777777" w:rsidR="003437F9" w:rsidRDefault="003437F9" w:rsidP="003437F9">
      <w:pPr>
        <w:pStyle w:val="ListParagraph"/>
        <w:jc w:val="both"/>
        <w:rPr>
          <w:rFonts w:ascii="Arial" w:hAnsi="Arial" w:cs="Arial"/>
          <w:sz w:val="20"/>
          <w:szCs w:val="20"/>
        </w:rPr>
      </w:pPr>
    </w:p>
    <w:p w14:paraId="7C30D459" w14:textId="29F7D615" w:rsidR="003437F9" w:rsidRPr="003437F9" w:rsidRDefault="003437F9" w:rsidP="003437F9">
      <w:pPr>
        <w:jc w:val="both"/>
        <w:rPr>
          <w:rFonts w:ascii="Arial" w:hAnsi="Arial" w:cs="Arial"/>
          <w:sz w:val="20"/>
          <w:szCs w:val="20"/>
        </w:rPr>
      </w:pPr>
      <w:r>
        <w:rPr>
          <w:rFonts w:ascii="Arial" w:hAnsi="Arial" w:cs="Arial"/>
          <w:sz w:val="20"/>
          <w:szCs w:val="20"/>
        </w:rPr>
        <w:t>AJM Med-i-Caps future product will be in a category of its own given it combines the electronic pill technology with diagnostic nanoparticles to more accurately identify polyps/cancerous lesions in a more comfortable way.</w:t>
      </w:r>
      <w:bookmarkEnd w:id="9"/>
    </w:p>
    <w:sectPr w:rsidR="003437F9" w:rsidRPr="003437F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E7CD2" w14:textId="77777777" w:rsidR="00802435" w:rsidRDefault="00802435" w:rsidP="00E47C06">
      <w:r>
        <w:separator/>
      </w:r>
    </w:p>
  </w:endnote>
  <w:endnote w:type="continuationSeparator" w:id="0">
    <w:p w14:paraId="1D3FCDCE" w14:textId="77777777" w:rsidR="00802435" w:rsidRDefault="00802435" w:rsidP="00E4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4197B" w14:textId="77777777" w:rsidR="00802435" w:rsidRDefault="00802435" w:rsidP="00E47C06">
      <w:r>
        <w:separator/>
      </w:r>
    </w:p>
  </w:footnote>
  <w:footnote w:type="continuationSeparator" w:id="0">
    <w:p w14:paraId="7E720555" w14:textId="77777777" w:rsidR="00802435" w:rsidRDefault="00802435" w:rsidP="00E47C06">
      <w:r>
        <w:continuationSeparator/>
      </w:r>
    </w:p>
  </w:footnote>
  <w:footnote w:id="1">
    <w:p w14:paraId="6B2DA23A" w14:textId="77777777" w:rsidR="00E47C06" w:rsidRPr="00F67BC6" w:rsidRDefault="00E47C06" w:rsidP="00E47C06">
      <w:pPr>
        <w:rPr>
          <w:rFonts w:ascii="Times New Roman" w:hAnsi="Times New Roman"/>
        </w:rPr>
      </w:pPr>
      <w:r>
        <w:rPr>
          <w:rStyle w:val="FootnoteReference"/>
        </w:rPr>
        <w:footnoteRef/>
      </w:r>
      <w:r>
        <w:t xml:space="preserve"> </w:t>
      </w:r>
      <w:r w:rsidRPr="007B667B">
        <w:rPr>
          <w:rFonts w:ascii="Times" w:hAnsi="Times"/>
          <w:color w:val="333333"/>
          <w:spacing w:val="4"/>
          <w:sz w:val="18"/>
          <w:szCs w:val="18"/>
          <w:shd w:val="clear" w:color="auto" w:fill="FCFCFC"/>
        </w:rPr>
        <w:t>Park S., Jee S.H. (2018) Epidemiology of Colorectal Cancer in Asia-Pacific Region. In: Kim N., Sugihara K., Liang JT. (eds) Surgical Treatment of Colorectal Cancer. Springer, Singapore</w:t>
      </w:r>
    </w:p>
    <w:p w14:paraId="50B58906" w14:textId="77777777" w:rsidR="00E47C06" w:rsidRPr="00F67BC6" w:rsidRDefault="00E47C06" w:rsidP="00E47C06">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84979"/>
    <w:multiLevelType w:val="hybridMultilevel"/>
    <w:tmpl w:val="F4BEC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365D1B"/>
    <w:multiLevelType w:val="hybridMultilevel"/>
    <w:tmpl w:val="3754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3438768">
    <w:abstractNumId w:val="0"/>
  </w:num>
  <w:num w:numId="2" w16cid:durableId="1903325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43C"/>
    <w:rsid w:val="00061AA6"/>
    <w:rsid w:val="000846DB"/>
    <w:rsid w:val="0009483D"/>
    <w:rsid w:val="00144211"/>
    <w:rsid w:val="00144962"/>
    <w:rsid w:val="001A5C0A"/>
    <w:rsid w:val="001D1CFD"/>
    <w:rsid w:val="001E02F7"/>
    <w:rsid w:val="002B791F"/>
    <w:rsid w:val="002D78B7"/>
    <w:rsid w:val="003437F9"/>
    <w:rsid w:val="0047509A"/>
    <w:rsid w:val="004E0ABA"/>
    <w:rsid w:val="00582578"/>
    <w:rsid w:val="005C5687"/>
    <w:rsid w:val="00617E63"/>
    <w:rsid w:val="006369BE"/>
    <w:rsid w:val="006747E2"/>
    <w:rsid w:val="00794C9F"/>
    <w:rsid w:val="007E3D2A"/>
    <w:rsid w:val="007F343C"/>
    <w:rsid w:val="00802435"/>
    <w:rsid w:val="00857CA1"/>
    <w:rsid w:val="008D7D9E"/>
    <w:rsid w:val="00941214"/>
    <w:rsid w:val="009C75A2"/>
    <w:rsid w:val="00A60AD8"/>
    <w:rsid w:val="00AA6FD5"/>
    <w:rsid w:val="00AD27A4"/>
    <w:rsid w:val="00B1148A"/>
    <w:rsid w:val="00B70066"/>
    <w:rsid w:val="00CC7F32"/>
    <w:rsid w:val="00CE3680"/>
    <w:rsid w:val="00CF5510"/>
    <w:rsid w:val="00D12776"/>
    <w:rsid w:val="00DB292D"/>
    <w:rsid w:val="00E104BB"/>
    <w:rsid w:val="00E47C06"/>
    <w:rsid w:val="00E62D0E"/>
    <w:rsid w:val="00E85E0A"/>
    <w:rsid w:val="00F3088D"/>
    <w:rsid w:val="00F80F03"/>
    <w:rsid w:val="00FB3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FF3C4"/>
  <w15:chartTrackingRefBased/>
  <w15:docId w15:val="{3C6B196A-CCB3-2742-9AB4-10F60B37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D78B7"/>
    <w:pPr>
      <w:tabs>
        <w:tab w:val="center" w:pos="4153"/>
        <w:tab w:val="right" w:pos="8306"/>
      </w:tabs>
      <w:spacing w:before="120" w:line="360" w:lineRule="auto"/>
    </w:pPr>
    <w:rPr>
      <w:rFonts w:ascii="Arial" w:eastAsia="Times New Roman" w:hAnsi="Arial" w:cs="Times New Roman"/>
      <w:sz w:val="22"/>
    </w:rPr>
  </w:style>
  <w:style w:type="character" w:customStyle="1" w:styleId="FooterChar">
    <w:name w:val="Footer Char"/>
    <w:basedOn w:val="DefaultParagraphFont"/>
    <w:link w:val="Footer"/>
    <w:uiPriority w:val="99"/>
    <w:rsid w:val="002D78B7"/>
    <w:rPr>
      <w:rFonts w:ascii="Arial" w:eastAsia="Times New Roman" w:hAnsi="Arial" w:cs="Times New Roman"/>
      <w:sz w:val="22"/>
      <w:lang w:val="en-US"/>
    </w:rPr>
  </w:style>
  <w:style w:type="paragraph" w:styleId="Caption">
    <w:name w:val="caption"/>
    <w:basedOn w:val="Normal"/>
    <w:next w:val="Normal"/>
    <w:unhideWhenUsed/>
    <w:qFormat/>
    <w:rsid w:val="00144211"/>
    <w:pPr>
      <w:spacing w:after="200"/>
    </w:pPr>
    <w:rPr>
      <w:rFonts w:ascii="Arial" w:eastAsia="Times New Roman" w:hAnsi="Arial" w:cs="Times New Roman"/>
      <w:i/>
      <w:iCs/>
      <w:color w:val="44546A" w:themeColor="text2"/>
      <w:sz w:val="18"/>
      <w:szCs w:val="18"/>
    </w:rPr>
  </w:style>
  <w:style w:type="character" w:styleId="FootnoteReference">
    <w:name w:val="footnote reference"/>
    <w:semiHidden/>
    <w:rsid w:val="004E0ABA"/>
    <w:rPr>
      <w:vertAlign w:val="superscript"/>
    </w:rPr>
  </w:style>
  <w:style w:type="paragraph" w:styleId="FootnoteText">
    <w:name w:val="footnote text"/>
    <w:basedOn w:val="Normal"/>
    <w:link w:val="FootnoteTextChar"/>
    <w:semiHidden/>
    <w:rsid w:val="00E47C06"/>
    <w:pPr>
      <w:widowControl w:val="0"/>
      <w:adjustRightInd w:val="0"/>
      <w:spacing w:line="360" w:lineRule="atLeast"/>
      <w:jc w:val="both"/>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E47C06"/>
    <w:rPr>
      <w:rFonts w:ascii="Times New Roman" w:eastAsia="Times New Roman" w:hAnsi="Times New Roman" w:cs="Times New Roman"/>
      <w:sz w:val="20"/>
      <w:szCs w:val="20"/>
      <w:lang w:val="en-GB"/>
    </w:rPr>
  </w:style>
  <w:style w:type="table" w:styleId="TableGrid">
    <w:name w:val="Table Grid"/>
    <w:basedOn w:val="TableNormal"/>
    <w:uiPriority w:val="39"/>
    <w:rsid w:val="0063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69BE"/>
    <w:pPr>
      <w:ind w:left="720"/>
      <w:contextualSpacing/>
    </w:pPr>
  </w:style>
  <w:style w:type="paragraph" w:styleId="Header">
    <w:name w:val="header"/>
    <w:basedOn w:val="Normal"/>
    <w:link w:val="HeaderChar"/>
    <w:uiPriority w:val="99"/>
    <w:unhideWhenUsed/>
    <w:rsid w:val="008D7D9E"/>
    <w:pPr>
      <w:tabs>
        <w:tab w:val="center" w:pos="4513"/>
        <w:tab w:val="right" w:pos="9026"/>
      </w:tabs>
    </w:pPr>
  </w:style>
  <w:style w:type="character" w:customStyle="1" w:styleId="HeaderChar">
    <w:name w:val="Header Char"/>
    <w:basedOn w:val="DefaultParagraphFont"/>
    <w:link w:val="Header"/>
    <w:uiPriority w:val="99"/>
    <w:rsid w:val="008D7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1615</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Georgiou</dc:creator>
  <cp:keywords/>
  <dc:description/>
  <cp:lastModifiedBy>Chris Droussiotis</cp:lastModifiedBy>
  <cp:revision>4</cp:revision>
  <dcterms:created xsi:type="dcterms:W3CDTF">2025-04-10T01:33:00Z</dcterms:created>
  <dcterms:modified xsi:type="dcterms:W3CDTF">2025-04-10T01:36:00Z</dcterms:modified>
</cp:coreProperties>
</file>